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F7294" w14:textId="571A23AE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违法行为类型：</w:t>
      </w:r>
      <w:r>
        <w:rPr>
          <w:rFonts w:ascii="仿宋_GB2312" w:eastAsia="仿宋_GB2312" w:hAnsi="宋体" w:cs="宋体" w:hint="eastAsia"/>
          <w:kern w:val="0"/>
          <w:sz w:val="24"/>
        </w:rPr>
        <w:t>违反《中华人民共和国安全生产法》第三十六条第二款、《四川省安全生产条例》第十五条的规定。</w:t>
      </w:r>
    </w:p>
    <w:p w14:paraId="581B889B" w14:textId="77777777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b/>
          <w:bCs/>
          <w:kern w:val="0"/>
          <w:sz w:val="24"/>
        </w:rPr>
      </w:pPr>
    </w:p>
    <w:p w14:paraId="3354916E" w14:textId="645E6CF2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违 法 事 实:</w:t>
      </w:r>
      <w:r>
        <w:rPr>
          <w:rFonts w:ascii="仿宋_GB2312" w:eastAsia="仿宋_GB2312" w:hAnsi="宋体" w:cs="宋体" w:hint="eastAsia"/>
          <w:kern w:val="0"/>
          <w:sz w:val="24"/>
        </w:rPr>
        <w:t>未建立专门的硫磺库粉尘清扫制度，制定的《硫磺堆场除尘安全管理规范》无粉尘“清扫周期”内容，硫磺库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上硫岗风机入口周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边墙面、支架上的粉尘未清扫；污水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站风险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点告知牌辨识不全，无淹溺、高处坠落辨识内容；磷铵车间外环流反应器处未设置有毒气体报警仪、加氨管道未标识介质名称及流向。</w:t>
      </w:r>
    </w:p>
    <w:p w14:paraId="4E5BEABF" w14:textId="13816AFA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处罚依据：</w:t>
      </w:r>
      <w:r>
        <w:rPr>
          <w:rFonts w:ascii="仿宋_GB2312" w:eastAsia="仿宋_GB2312" w:hAnsi="宋体" w:cs="宋体" w:hint="eastAsia"/>
          <w:kern w:val="0"/>
          <w:sz w:val="24"/>
        </w:rPr>
        <w:t>《中华人民共和国安全生产法》第九十八条第一项、《四川省安全生产条例》第七十七条。</w:t>
      </w:r>
    </w:p>
    <w:p w14:paraId="37498DA9" w14:textId="77777777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kern w:val="0"/>
          <w:sz w:val="24"/>
        </w:rPr>
      </w:pPr>
    </w:p>
    <w:p w14:paraId="1BCC51EE" w14:textId="1969955A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处罚类别：</w:t>
      </w:r>
      <w:r>
        <w:rPr>
          <w:rFonts w:ascii="仿宋_GB2312" w:eastAsia="仿宋_GB2312" w:hAnsi="宋体" w:cs="宋体" w:hint="eastAsia"/>
          <w:kern w:val="0"/>
          <w:sz w:val="24"/>
        </w:rPr>
        <w:t>警告、罚款</w:t>
      </w:r>
      <w:r w:rsidR="00CC0BDF">
        <w:rPr>
          <w:rFonts w:ascii="仿宋_GB2312" w:eastAsia="仿宋_GB2312" w:hAnsi="宋体" w:cs="宋体" w:hint="eastAsia"/>
          <w:kern w:val="0"/>
          <w:sz w:val="24"/>
        </w:rPr>
        <w:t>。</w:t>
      </w:r>
    </w:p>
    <w:p w14:paraId="086FE085" w14:textId="77777777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b/>
          <w:bCs/>
          <w:kern w:val="0"/>
          <w:sz w:val="24"/>
        </w:rPr>
      </w:pPr>
    </w:p>
    <w:p w14:paraId="4705059D" w14:textId="36BD46AA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处罚内容：</w:t>
      </w:r>
      <w:r>
        <w:rPr>
          <w:rFonts w:ascii="仿宋_GB2312" w:eastAsia="仿宋_GB2312" w:hAnsi="仿宋_GB2312" w:cs="仿宋_GB2312" w:hint="eastAsia"/>
          <w:sz w:val="24"/>
        </w:rPr>
        <w:t>德阳昊华清平磷矿有限公司磷铵分厂</w:t>
      </w:r>
      <w:r>
        <w:rPr>
          <w:rFonts w:ascii="仿宋_GB2312" w:eastAsia="仿宋_GB2312" w:hAnsi="宋体" w:cs="宋体" w:hint="eastAsia"/>
          <w:kern w:val="0"/>
          <w:sz w:val="24"/>
        </w:rPr>
        <w:t>未建立专门的硫磺库粉尘清扫制度，制定的《硫磺堆场除尘安全管理规范》无粉尘“清扫周期”内容，硫磺库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上硫岗风机入口周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边墙面、支架上的粉尘未清扫；污水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站风险</w:t>
      </w:r>
      <w:proofErr w:type="gramEnd"/>
      <w:r>
        <w:rPr>
          <w:rFonts w:ascii="仿宋_GB2312" w:eastAsia="仿宋_GB2312" w:hAnsi="宋体" w:cs="宋体" w:hint="eastAsia"/>
          <w:kern w:val="0"/>
          <w:sz w:val="24"/>
        </w:rPr>
        <w:t>点告知牌辨识不全，无淹溺、高处坠落辨识内容；磷铵车间外环流反应器处未设置有毒气体报警仪、加氨管道未标识介质名称及流向。以上事实违反了《中华人民共和国安全生产法》第三十六条第二款、《四川省安全生产条例》第十五条的规定。依据《中华人民共和国安全生产法》第九十八条第一项、《四川省安全生产条例》第七十七条的规定，给予警告、并处人民币18000.00元（大写：壹万捌仟元整）罚款的行政处罚。</w:t>
      </w:r>
    </w:p>
    <w:p w14:paraId="26B533D3" w14:textId="77777777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kern w:val="0"/>
          <w:sz w:val="24"/>
        </w:rPr>
      </w:pPr>
    </w:p>
    <w:p w14:paraId="1091ECB0" w14:textId="77777777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罚款金额（万元）</w:t>
      </w:r>
      <w:r>
        <w:rPr>
          <w:rFonts w:ascii="仿宋_GB2312" w:eastAsia="仿宋_GB2312" w:hAnsi="宋体" w:cs="宋体" w:hint="eastAsia"/>
          <w:kern w:val="0"/>
          <w:sz w:val="24"/>
        </w:rPr>
        <w:t>：1.8</w:t>
      </w:r>
    </w:p>
    <w:p w14:paraId="4931D6E8" w14:textId="77777777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处罚决定日期</w:t>
      </w:r>
      <w:r>
        <w:rPr>
          <w:rFonts w:ascii="仿宋_GB2312" w:eastAsia="仿宋_GB2312" w:hAnsi="宋体" w:cs="宋体" w:hint="eastAsia"/>
          <w:kern w:val="0"/>
          <w:sz w:val="24"/>
        </w:rPr>
        <w:t>：2021/7/19</w:t>
      </w:r>
    </w:p>
    <w:p w14:paraId="180E5A40" w14:textId="77777777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处罚机关</w:t>
      </w:r>
      <w:r>
        <w:rPr>
          <w:rFonts w:ascii="仿宋_GB2312" w:eastAsia="仿宋_GB2312" w:hAnsi="宋体" w:cs="宋体" w:hint="eastAsia"/>
          <w:kern w:val="0"/>
          <w:sz w:val="24"/>
        </w:rPr>
        <w:t>:德阳市应急管理局</w:t>
      </w:r>
    </w:p>
    <w:p w14:paraId="79A9062A" w14:textId="77777777" w:rsidR="00B21B17" w:rsidRDefault="00B21B17" w:rsidP="00B21B17">
      <w:pPr>
        <w:widowControl/>
        <w:shd w:val="clear" w:color="auto" w:fill="FFFFFF"/>
        <w:spacing w:line="420" w:lineRule="exact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数据来源单位</w:t>
      </w:r>
      <w:r>
        <w:rPr>
          <w:rFonts w:ascii="仿宋_GB2312" w:eastAsia="仿宋_GB2312" w:hAnsi="宋体" w:cs="宋体" w:hint="eastAsia"/>
          <w:kern w:val="0"/>
          <w:sz w:val="24"/>
        </w:rPr>
        <w:t>：德阳市应急管理局</w:t>
      </w:r>
    </w:p>
    <w:p w14:paraId="472DF81F" w14:textId="77777777" w:rsidR="000305B6" w:rsidRPr="00B21B17" w:rsidRDefault="000305B6"/>
    <w:sectPr w:rsidR="000305B6" w:rsidRPr="00B21B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B17"/>
    <w:rsid w:val="000305B6"/>
    <w:rsid w:val="00B21B17"/>
    <w:rsid w:val="00CC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FC1D2"/>
  <w15:chartTrackingRefBased/>
  <w15:docId w15:val="{B9D60EE0-3EB9-41DD-BFC1-C37D8983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B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2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dq</dc:creator>
  <cp:keywords/>
  <dc:description/>
  <cp:lastModifiedBy>c dq</cp:lastModifiedBy>
  <cp:revision>3</cp:revision>
  <dcterms:created xsi:type="dcterms:W3CDTF">2022-01-18T11:21:00Z</dcterms:created>
  <dcterms:modified xsi:type="dcterms:W3CDTF">2022-01-18T11:25:00Z</dcterms:modified>
</cp:coreProperties>
</file>