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0477D" w14:textId="303F5D7A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违法行为类型：</w:t>
      </w:r>
      <w:r>
        <w:rPr>
          <w:rFonts w:ascii="仿宋_GB2312" w:eastAsia="仿宋_GB2312" w:hAnsi="宋体" w:cs="宋体" w:hint="eastAsia"/>
          <w:kern w:val="0"/>
          <w:sz w:val="24"/>
        </w:rPr>
        <w:t>违反《四川省安全生产条例》第十五条的规定。</w:t>
      </w:r>
    </w:p>
    <w:p w14:paraId="60E34486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b/>
          <w:bCs/>
          <w:kern w:val="0"/>
          <w:sz w:val="24"/>
        </w:rPr>
      </w:pPr>
    </w:p>
    <w:p w14:paraId="09C8B8C7" w14:textId="1EDD6C54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违 法 事 实:</w:t>
      </w:r>
      <w:r>
        <w:rPr>
          <w:rFonts w:ascii="仿宋_GB2312" w:eastAsia="仿宋_GB2312" w:hAnsi="宋体" w:cs="宋体" w:hint="eastAsia"/>
          <w:kern w:val="0"/>
          <w:sz w:val="24"/>
        </w:rPr>
        <w:t>硝酸铵库有毒气体检测仪、温度检测仪无连续记录功能；硝酸铵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库外洗眼器水管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下端破损，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洗眼器不能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正常供水；硝酸铵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库使用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《硝酸钾库房温、湿度登记表》登记，硝酸铵库内《硝酸钾库房温、湿度登记表》违规登记，6月17日上午10时前已提前登记下午温、湿度数据。</w:t>
      </w:r>
    </w:p>
    <w:p w14:paraId="74655393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</w:p>
    <w:p w14:paraId="6E4431D3" w14:textId="3394C66E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处罚依据：</w:t>
      </w:r>
      <w:r>
        <w:rPr>
          <w:rFonts w:ascii="仿宋_GB2312" w:eastAsia="仿宋_GB2312" w:hAnsi="宋体" w:cs="宋体" w:hint="eastAsia"/>
          <w:kern w:val="0"/>
          <w:sz w:val="24"/>
        </w:rPr>
        <w:t>《四川省安全生产条例》第七十七条</w:t>
      </w:r>
      <w:r w:rsidR="007C75EF">
        <w:rPr>
          <w:rFonts w:ascii="仿宋_GB2312" w:eastAsia="仿宋_GB2312" w:hAnsi="宋体" w:cs="宋体" w:hint="eastAsia"/>
          <w:kern w:val="0"/>
          <w:sz w:val="24"/>
        </w:rPr>
        <w:t>。</w:t>
      </w:r>
    </w:p>
    <w:p w14:paraId="49385C92" w14:textId="77777777" w:rsidR="00A450EC" w:rsidRPr="007C75EF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</w:p>
    <w:p w14:paraId="12441CB1" w14:textId="6D8D4B11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处罚类别：</w:t>
      </w:r>
      <w:r>
        <w:rPr>
          <w:rFonts w:ascii="仿宋_GB2312" w:eastAsia="仿宋_GB2312" w:hAnsi="宋体" w:cs="宋体" w:hint="eastAsia"/>
          <w:kern w:val="0"/>
          <w:sz w:val="24"/>
        </w:rPr>
        <w:t>警告、罚款</w:t>
      </w:r>
      <w:r w:rsidR="007C75EF">
        <w:rPr>
          <w:rFonts w:ascii="仿宋_GB2312" w:eastAsia="仿宋_GB2312" w:hAnsi="宋体" w:cs="宋体" w:hint="eastAsia"/>
          <w:kern w:val="0"/>
          <w:sz w:val="24"/>
        </w:rPr>
        <w:t>。</w:t>
      </w:r>
    </w:p>
    <w:p w14:paraId="5A0D68FF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b/>
          <w:bCs/>
          <w:kern w:val="0"/>
          <w:sz w:val="24"/>
        </w:rPr>
      </w:pPr>
    </w:p>
    <w:p w14:paraId="4F81EF67" w14:textId="6085B499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处罚内容：</w:t>
      </w:r>
      <w:r>
        <w:rPr>
          <w:rFonts w:ascii="仿宋_GB2312" w:eastAsia="仿宋_GB2312" w:hAnsi="宋体" w:cs="宋体" w:hint="eastAsia"/>
          <w:kern w:val="0"/>
          <w:sz w:val="24"/>
        </w:rPr>
        <w:t>什邡市岐山化工有限公司硝酸铵库有毒气体检测仪、温度检测仪无连续记录功能；硝酸铵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库外洗眼器水管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下端破损，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洗眼器不能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正常供水；硝酸铵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库使用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《硝酸钾库房温、湿度登记表》登记，硝酸铵库内《硝酸钾库房温、湿度登记表》违规登记，6月17日上午10时前已提前登记下午温、湿度数据。以上事实违反了《四川省安全生产条例》第十五条的规定，依据《四川省安全生产条例》第七十七条的规定，给予警告、并处人民币15000.00元（大写：壹万伍仟元整）罚款的行政处罚。</w:t>
      </w:r>
    </w:p>
    <w:p w14:paraId="46CA2A6B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</w:p>
    <w:p w14:paraId="54CA2934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罚款金额（万元）</w:t>
      </w:r>
      <w:r>
        <w:rPr>
          <w:rFonts w:ascii="仿宋_GB2312" w:eastAsia="仿宋_GB2312" w:hAnsi="宋体" w:cs="宋体" w:hint="eastAsia"/>
          <w:kern w:val="0"/>
          <w:sz w:val="24"/>
        </w:rPr>
        <w:t>：1.5</w:t>
      </w:r>
    </w:p>
    <w:p w14:paraId="6A9BA407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处罚决定日期</w:t>
      </w:r>
      <w:r>
        <w:rPr>
          <w:rFonts w:ascii="仿宋_GB2312" w:eastAsia="仿宋_GB2312" w:hAnsi="宋体" w:cs="宋体" w:hint="eastAsia"/>
          <w:kern w:val="0"/>
          <w:sz w:val="24"/>
        </w:rPr>
        <w:t>：2021/7/2</w:t>
      </w:r>
    </w:p>
    <w:p w14:paraId="6FF08F36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处罚机关</w:t>
      </w:r>
      <w:r>
        <w:rPr>
          <w:rFonts w:ascii="仿宋_GB2312" w:eastAsia="仿宋_GB2312" w:hAnsi="宋体" w:cs="宋体" w:hint="eastAsia"/>
          <w:kern w:val="0"/>
          <w:sz w:val="24"/>
        </w:rPr>
        <w:t>:德阳市应急管理局</w:t>
      </w:r>
    </w:p>
    <w:p w14:paraId="7AB2EF51" w14:textId="77777777" w:rsidR="00A450EC" w:rsidRDefault="00A450EC" w:rsidP="00A450EC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数据来源单位</w:t>
      </w:r>
      <w:r>
        <w:rPr>
          <w:rFonts w:ascii="仿宋_GB2312" w:eastAsia="仿宋_GB2312" w:hAnsi="宋体" w:cs="宋体" w:hint="eastAsia"/>
          <w:kern w:val="0"/>
          <w:sz w:val="24"/>
        </w:rPr>
        <w:t>：德阳市应急管理局</w:t>
      </w:r>
    </w:p>
    <w:p w14:paraId="3D93FB6D" w14:textId="77777777" w:rsidR="00A450EC" w:rsidRDefault="00A450EC" w:rsidP="00A450EC">
      <w:pPr>
        <w:spacing w:line="440" w:lineRule="exact"/>
        <w:rPr>
          <w:sz w:val="24"/>
        </w:rPr>
      </w:pPr>
    </w:p>
    <w:p w14:paraId="295A10C2" w14:textId="77777777" w:rsidR="00E00923" w:rsidRPr="00A450EC" w:rsidRDefault="00E00923"/>
    <w:sectPr w:rsidR="00E00923" w:rsidRPr="00A450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EC"/>
    <w:rsid w:val="007C75EF"/>
    <w:rsid w:val="00827617"/>
    <w:rsid w:val="00886579"/>
    <w:rsid w:val="00A450EC"/>
    <w:rsid w:val="00E0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7D115"/>
  <w15:chartTrackingRefBased/>
  <w15:docId w15:val="{F43953E1-BF9D-48A9-AB85-60A8761E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0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dq</dc:creator>
  <cp:keywords/>
  <dc:description/>
  <cp:lastModifiedBy>c dq</cp:lastModifiedBy>
  <cp:revision>2</cp:revision>
  <dcterms:created xsi:type="dcterms:W3CDTF">2022-01-18T11:44:00Z</dcterms:created>
  <dcterms:modified xsi:type="dcterms:W3CDTF">2022-01-18T11:44:00Z</dcterms:modified>
</cp:coreProperties>
</file>