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344"/>
        <w:jc w:val="right"/>
        <w:rPr>
          <w:rFonts w:ascii="仿宋_GB2312" w:eastAsia="仿宋_GB2312"/>
          <w:b/>
          <w:bCs/>
          <w:kern w:val="0"/>
          <w:sz w:val="32"/>
          <w:szCs w:val="32"/>
        </w:rPr>
      </w:pPr>
      <w:r>
        <w:rPr>
          <w:rFonts w:hint="eastAsia"/>
          <w:sz w:val="32"/>
          <w:szCs w:val="32"/>
        </w:rPr>
        <w:t>理论</w:t>
      </w:r>
      <w:r>
        <w:rPr>
          <w:rFonts w:hint="eastAsia" w:ascii="宋体" w:hAnsi="宋体"/>
          <w:sz w:val="32"/>
          <w:szCs w:val="32"/>
        </w:rPr>
        <w:t>□</w:t>
      </w:r>
      <w:r>
        <w:rPr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实操□</w:t>
      </w:r>
      <w:r>
        <w:rPr>
          <w:sz w:val="32"/>
          <w:szCs w:val="32"/>
        </w:rPr>
        <w:t xml:space="preserve"> </w:t>
      </w: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kern w:val="0"/>
          <w:sz w:val="56"/>
          <w:szCs w:val="56"/>
        </w:rPr>
      </w:pPr>
    </w:p>
    <w:p>
      <w:pPr>
        <w:widowControl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kern w:val="0"/>
          <w:sz w:val="56"/>
          <w:szCs w:val="56"/>
        </w:rPr>
      </w:pPr>
    </w:p>
    <w:p>
      <w:pPr>
        <w:widowControl/>
        <w:spacing w:line="360" w:lineRule="auto"/>
        <w:jc w:val="center"/>
        <w:rPr>
          <w:rFonts w:ascii="方正小标宋简体" w:hAnsi="方正小标宋简体" w:eastAsia="方正小标宋简体" w:cs="方正小标宋简体"/>
          <w:kern w:val="0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56"/>
          <w:szCs w:val="56"/>
        </w:rPr>
        <w:t>四川省安全生产考试点验收</w:t>
      </w:r>
    </w:p>
    <w:p>
      <w:pPr>
        <w:widowControl/>
        <w:spacing w:line="360" w:lineRule="auto"/>
        <w:jc w:val="center"/>
        <w:rPr>
          <w:rFonts w:ascii="方正小标宋简体" w:hAnsi="方正小标宋简体" w:eastAsia="方正小标宋简体" w:cs="方正小标宋简体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56"/>
          <w:szCs w:val="56"/>
        </w:rPr>
        <w:t>申请表</w:t>
      </w:r>
    </w:p>
    <w:p>
      <w:pPr>
        <w:widowControl/>
        <w:spacing w:line="360" w:lineRule="auto"/>
        <w:ind w:firstLine="1080" w:firstLineChars="300"/>
        <w:rPr>
          <w:rFonts w:hint="eastAsia" w:ascii="黑体" w:hAnsi="黑体" w:eastAsia="黑体"/>
          <w:bCs/>
          <w:kern w:val="0"/>
          <w:sz w:val="36"/>
          <w:szCs w:val="36"/>
        </w:rPr>
      </w:pPr>
    </w:p>
    <w:p>
      <w:pPr>
        <w:widowControl/>
        <w:spacing w:line="360" w:lineRule="auto"/>
        <w:ind w:firstLine="1080" w:firstLineChars="300"/>
        <w:rPr>
          <w:rFonts w:hint="eastAsia" w:ascii="黑体" w:hAnsi="黑体" w:eastAsia="黑体"/>
          <w:bCs/>
          <w:kern w:val="0"/>
          <w:sz w:val="36"/>
          <w:szCs w:val="36"/>
        </w:rPr>
      </w:pPr>
    </w:p>
    <w:p>
      <w:pPr>
        <w:widowControl/>
        <w:spacing w:line="360" w:lineRule="auto"/>
        <w:ind w:firstLine="1080" w:firstLineChars="300"/>
        <w:rPr>
          <w:rFonts w:hint="eastAsia" w:ascii="黑体" w:hAnsi="黑体" w:eastAsia="黑体"/>
          <w:bCs/>
          <w:kern w:val="0"/>
          <w:sz w:val="36"/>
          <w:szCs w:val="36"/>
        </w:rPr>
      </w:pPr>
    </w:p>
    <w:p>
      <w:pPr>
        <w:widowControl/>
        <w:spacing w:line="360" w:lineRule="auto"/>
        <w:ind w:left="0" w:leftChars="0" w:firstLine="1260" w:firstLineChars="350"/>
        <w:rPr>
          <w:rFonts w:ascii="黑体" w:hAnsi="黑体" w:eastAsia="黑体"/>
          <w:bCs/>
          <w:kern w:val="0"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kern w:val="0"/>
          <w:sz w:val="36"/>
          <w:szCs w:val="36"/>
        </w:rPr>
        <w:t>申请单位（</w:t>
      </w:r>
      <w:r>
        <w:rPr>
          <w:rFonts w:hint="eastAsia" w:ascii="黑体" w:hAnsi="黑体" w:eastAsia="黑体"/>
          <w:bCs/>
          <w:kern w:val="0"/>
          <w:sz w:val="36"/>
          <w:szCs w:val="36"/>
          <w:lang w:val="en-US" w:eastAsia="zh-CN"/>
        </w:rPr>
        <w:t>公</w:t>
      </w:r>
      <w:r>
        <w:rPr>
          <w:rFonts w:hint="eastAsia" w:ascii="黑体" w:hAnsi="黑体" w:eastAsia="黑体"/>
          <w:bCs/>
          <w:kern w:val="0"/>
          <w:sz w:val="36"/>
          <w:szCs w:val="36"/>
        </w:rPr>
        <w:t>章）：</w:t>
      </w:r>
    </w:p>
    <w:p>
      <w:pPr>
        <w:widowControl/>
        <w:spacing w:line="360" w:lineRule="auto"/>
        <w:rPr>
          <w:rFonts w:ascii="黑体" w:hAnsi="黑体" w:eastAsia="黑体"/>
          <w:bCs/>
          <w:kern w:val="0"/>
          <w:sz w:val="36"/>
          <w:szCs w:val="36"/>
        </w:rPr>
      </w:pPr>
    </w:p>
    <w:p>
      <w:pPr>
        <w:widowControl/>
        <w:spacing w:line="360" w:lineRule="auto"/>
        <w:ind w:left="0" w:leftChars="0" w:firstLine="1260" w:firstLineChars="350"/>
        <w:rPr>
          <w:rFonts w:ascii="黑体" w:hAnsi="黑体" w:eastAsia="黑体"/>
          <w:bCs/>
          <w:kern w:val="0"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kern w:val="0"/>
          <w:sz w:val="36"/>
          <w:szCs w:val="36"/>
        </w:rPr>
        <w:t>法人代表或负责人：</w:t>
      </w:r>
    </w:p>
    <w:p>
      <w:pPr>
        <w:widowControl/>
        <w:spacing w:line="360" w:lineRule="auto"/>
        <w:ind w:firstLine="1200" w:firstLineChars="300"/>
        <w:rPr>
          <w:rFonts w:ascii="黑体" w:hAnsi="黑体" w:eastAsia="黑体"/>
          <w:bCs/>
          <w:spacing w:val="20"/>
          <w:kern w:val="0"/>
          <w:sz w:val="36"/>
          <w:szCs w:val="36"/>
        </w:rPr>
      </w:pPr>
    </w:p>
    <w:p>
      <w:pPr>
        <w:widowControl/>
        <w:spacing w:line="360" w:lineRule="auto"/>
        <w:ind w:firstLine="1200" w:firstLineChars="300"/>
        <w:rPr>
          <w:rFonts w:ascii="黑体" w:hAnsi="黑体" w:eastAsia="黑体"/>
          <w:bCs/>
          <w:kern w:val="0"/>
          <w:sz w:val="36"/>
          <w:szCs w:val="36"/>
        </w:rPr>
      </w:pPr>
      <w:r>
        <w:rPr>
          <w:rFonts w:hint="eastAsia" w:ascii="黑体" w:hAnsi="黑体" w:eastAsia="黑体"/>
          <w:bCs/>
          <w:spacing w:val="20"/>
          <w:kern w:val="0"/>
          <w:sz w:val="36"/>
          <w:szCs w:val="36"/>
        </w:rPr>
        <w:t xml:space="preserve">填  报  日  期：  </w:t>
      </w:r>
      <w:r>
        <w:rPr>
          <w:rFonts w:hint="eastAsia" w:ascii="黑体" w:hAnsi="黑体" w:eastAsia="黑体"/>
          <w:bCs/>
          <w:kern w:val="0"/>
          <w:sz w:val="36"/>
          <w:szCs w:val="36"/>
        </w:rPr>
        <w:t>年  月  日</w:t>
      </w:r>
    </w:p>
    <w:p>
      <w:pPr>
        <w:widowControl/>
        <w:jc w:val="center"/>
        <w:rPr>
          <w:rFonts w:hint="eastAsia" w:eastAsia="楷体_GB2312"/>
          <w:kern w:val="0"/>
          <w:sz w:val="36"/>
          <w:szCs w:val="36"/>
        </w:rPr>
      </w:pPr>
    </w:p>
    <w:p>
      <w:pPr>
        <w:widowControl/>
        <w:jc w:val="center"/>
        <w:rPr>
          <w:rFonts w:hint="eastAsia" w:eastAsia="楷体_GB2312"/>
          <w:kern w:val="0"/>
          <w:sz w:val="36"/>
          <w:szCs w:val="36"/>
        </w:rPr>
      </w:pPr>
    </w:p>
    <w:p>
      <w:pPr>
        <w:widowControl/>
        <w:jc w:val="center"/>
        <w:rPr>
          <w:rFonts w:eastAsia="楷体_GB2312"/>
          <w:b/>
          <w:bCs/>
          <w:kern w:val="0"/>
          <w:sz w:val="36"/>
          <w:szCs w:val="36"/>
        </w:rPr>
      </w:pPr>
      <w:r>
        <w:rPr>
          <w:rFonts w:hint="eastAsia" w:eastAsia="楷体_GB2312"/>
          <w:b/>
          <w:bCs/>
          <w:kern w:val="0"/>
          <w:sz w:val="36"/>
          <w:szCs w:val="36"/>
        </w:rPr>
        <w:t>四川省应急管理厅制</w:t>
      </w:r>
    </w:p>
    <w:p>
      <w:pPr>
        <w:rPr>
          <w:rFonts w:ascii="黑体" w:hAnsi="黑体" w:eastAsia="黑体"/>
          <w:bCs/>
          <w:kern w:val="0"/>
          <w:sz w:val="36"/>
          <w:szCs w:val="36"/>
        </w:rPr>
      </w:pPr>
    </w:p>
    <w:p>
      <w:pPr>
        <w:spacing w:line="578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/>
        </w:rPr>
      </w:pPr>
    </w:p>
    <w:p>
      <w:pPr>
        <w:spacing w:line="578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填 报 说 明</w:t>
      </w:r>
    </w:p>
    <w:p>
      <w:pPr>
        <w:spacing w:line="578" w:lineRule="exact"/>
        <w:jc w:val="center"/>
        <w:rPr>
          <w:b/>
          <w:bCs/>
          <w:sz w:val="36"/>
        </w:rPr>
      </w:pP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1.验收资料请按照目录顺序装订，不得漏项。</w:t>
      </w: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2.本机构负责人或法定代表人要组织专人如实填报，对提供的资料真实性负责。</w:t>
      </w: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3.资料内容请务必填写完整，不得缺、漏、涂改项。</w:t>
      </w: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4.特种作业考试实操设备、场地按照作业</w:t>
      </w:r>
      <w:r>
        <w:rPr>
          <w:rFonts w:hint="eastAsia" w:ascii="仿宋_GB2312" w:hAnsi="仿宋_GB2312" w:eastAsia="仿宋_GB2312" w:cs="仿宋_GB2312"/>
          <w:sz w:val="32"/>
          <w:lang w:eastAsia="zh-CN"/>
        </w:rPr>
        <w:t>类别</w:t>
      </w:r>
      <w:r>
        <w:rPr>
          <w:rFonts w:hint="eastAsia" w:ascii="仿宋_GB2312" w:hAnsi="仿宋_GB2312" w:eastAsia="仿宋_GB2312" w:cs="仿宋_GB2312"/>
          <w:sz w:val="32"/>
        </w:rPr>
        <w:t>分别填报。</w:t>
      </w: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5.本资料封面须加盖申请考试点验收单位公章，装订成册后须加盖骑缝章，主要负责人签字须手写，其他内容可用计算机填报。</w:t>
      </w:r>
    </w:p>
    <w:p>
      <w:pPr>
        <w:spacing w:line="578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</w:rPr>
        <w:t>6.本资料不少于2份，省考试中心及验收考试点所在地考试分中心各存一份。</w:t>
      </w:r>
    </w:p>
    <w:p>
      <w:pPr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br w:type="page"/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目  录</w:t>
      </w:r>
    </w:p>
    <w:p>
      <w:pPr>
        <w:spacing w:line="560" w:lineRule="exact"/>
        <w:ind w:firstLine="3939" w:firstLineChars="1090"/>
        <w:rPr>
          <w:b/>
          <w:bCs/>
          <w:sz w:val="36"/>
        </w:rPr>
      </w:pPr>
    </w:p>
    <w:p>
      <w:pPr>
        <w:spacing w:line="578" w:lineRule="exact"/>
        <w:ind w:left="142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1.考试点基本情况表</w:t>
      </w:r>
    </w:p>
    <w:p>
      <w:pPr>
        <w:spacing w:line="578" w:lineRule="exact"/>
        <w:ind w:left="142" w:firstLine="640" w:firstLineChars="200"/>
        <w:rPr>
          <w:rFonts w:hint="default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</w:rPr>
        <w:t>2.理论考场</w:t>
      </w:r>
      <w:r>
        <w:rPr>
          <w:rFonts w:hint="eastAsia" w:ascii="仿宋_GB2312" w:hAnsi="仿宋_GB2312" w:eastAsia="仿宋_GB2312" w:cs="仿宋_GB2312"/>
          <w:sz w:val="32"/>
          <w:lang w:val="en-US" w:eastAsia="zh-CN"/>
        </w:rPr>
        <w:t>基本情况表（附照片）</w:t>
      </w:r>
    </w:p>
    <w:p>
      <w:pPr>
        <w:spacing w:line="578" w:lineRule="exact"/>
        <w:ind w:left="142" w:firstLine="640" w:firstLineChars="200"/>
        <w:rPr>
          <w:rFonts w:hint="eastAsia" w:ascii="仿宋_GB2312" w:hAnsi="仿宋_GB2312" w:eastAsia="仿宋_GB2312" w:cs="仿宋_GB2312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lang w:val="en-US" w:eastAsia="zh-CN"/>
        </w:rPr>
        <w:t>3.特种作业实操考场基本情况表（附照片和平面图。理论考试点验收无需提供）</w:t>
      </w:r>
    </w:p>
    <w:p>
      <w:pPr>
        <w:spacing w:line="578" w:lineRule="exact"/>
        <w:ind w:left="142"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4.管理人员汇总表</w:t>
      </w:r>
    </w:p>
    <w:p>
      <w:pPr>
        <w:spacing w:line="578" w:lineRule="exact"/>
        <w:ind w:left="142"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5.监考人员汇总表</w:t>
      </w:r>
    </w:p>
    <w:p>
      <w:pPr>
        <w:spacing w:line="578" w:lineRule="exact"/>
        <w:ind w:left="142"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6.考评人员汇总表（理论考试点验收无需提供）</w:t>
      </w:r>
    </w:p>
    <w:p>
      <w:pPr>
        <w:spacing w:line="578" w:lineRule="exact"/>
        <w:ind w:left="142" w:firstLine="640" w:firstLineChars="200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7.管理制度目录（附考试点管理架构图）</w:t>
      </w:r>
    </w:p>
    <w:p>
      <w:pPr>
        <w:spacing w:line="578" w:lineRule="exact"/>
        <w:ind w:left="142"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after="156" w:afterLines="50" w:line="560" w:lineRule="exact"/>
        <w:jc w:val="center"/>
        <w:rPr>
          <w:rFonts w:ascii="宋体" w:eastAsia="方正小标宋简体"/>
          <w:b/>
          <w:sz w:val="24"/>
        </w:rPr>
      </w:pPr>
      <w:r>
        <w:rPr>
          <w:rFonts w:hint="eastAsia" w:ascii="黑体" w:hAnsi="黑体" w:eastAsia="黑体"/>
          <w:kern w:val="0"/>
          <w:sz w:val="32"/>
          <w:szCs w:val="32"/>
        </w:rPr>
        <w:br w:type="page"/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考试点基本情况表</w:t>
      </w:r>
    </w:p>
    <w:tbl>
      <w:tblPr>
        <w:tblStyle w:val="4"/>
        <w:tblW w:w="95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0"/>
        <w:gridCol w:w="1744"/>
        <w:gridCol w:w="2267"/>
        <w:gridCol w:w="1481"/>
        <w:gridCol w:w="1541"/>
        <w:gridCol w:w="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单位名称</w:t>
            </w:r>
          </w:p>
        </w:tc>
        <w:tc>
          <w:tcPr>
            <w:tcW w:w="4011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8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统一社会信用代码</w:t>
            </w:r>
          </w:p>
        </w:tc>
        <w:tc>
          <w:tcPr>
            <w:tcW w:w="236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单位地址</w:t>
            </w:r>
          </w:p>
        </w:tc>
        <w:tc>
          <w:tcPr>
            <w:tcW w:w="4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邮政编码</w:t>
            </w:r>
          </w:p>
        </w:tc>
        <w:tc>
          <w:tcPr>
            <w:tcW w:w="2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法定代表人姓名及身份证号</w:t>
            </w:r>
          </w:p>
        </w:tc>
        <w:tc>
          <w:tcPr>
            <w:tcW w:w="4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2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联系人</w:t>
            </w:r>
          </w:p>
        </w:tc>
        <w:tc>
          <w:tcPr>
            <w:tcW w:w="4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2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单位性质</w:t>
            </w:r>
          </w:p>
        </w:tc>
        <w:tc>
          <w:tcPr>
            <w:tcW w:w="4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在职职工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人数</w:t>
            </w:r>
          </w:p>
        </w:tc>
        <w:tc>
          <w:tcPr>
            <w:tcW w:w="2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考务管理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人员</w:t>
            </w:r>
          </w:p>
        </w:tc>
        <w:tc>
          <w:tcPr>
            <w:tcW w:w="4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专职  人，兼职  人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特种作业实操考评人员</w:t>
            </w:r>
          </w:p>
        </w:tc>
        <w:tc>
          <w:tcPr>
            <w:tcW w:w="2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专职  人，兼职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9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监考人员</w:t>
            </w:r>
          </w:p>
        </w:tc>
        <w:tc>
          <w:tcPr>
            <w:tcW w:w="4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专职  人，兼职  人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3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69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考试场地   总面积</w:t>
            </w:r>
          </w:p>
        </w:tc>
        <w:tc>
          <w:tcPr>
            <w:tcW w:w="17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理论考试场地面积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计算机数量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实操考试场地面积</w:t>
            </w:r>
          </w:p>
        </w:tc>
        <w:tc>
          <w:tcPr>
            <w:tcW w:w="38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8" w:hRule="atLeast"/>
          <w:jc w:val="center"/>
        </w:trPr>
        <w:tc>
          <w:tcPr>
            <w:tcW w:w="1690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考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试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范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围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主要负责人和安全管理人员</w:t>
            </w:r>
          </w:p>
        </w:tc>
        <w:tc>
          <w:tcPr>
            <w:tcW w:w="61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36" w:lineRule="auto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□危险化学品生产、经营、储存</w:t>
            </w:r>
          </w:p>
          <w:p>
            <w:pPr>
              <w:spacing w:line="336" w:lineRule="auto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□煤矿</w:t>
            </w:r>
          </w:p>
          <w:p>
            <w:pPr>
              <w:spacing w:line="336" w:lineRule="auto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□非煤矿山</w:t>
            </w:r>
          </w:p>
          <w:p>
            <w:pPr>
              <w:spacing w:line="336" w:lineRule="auto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□烟花爆竹</w:t>
            </w:r>
          </w:p>
          <w:p>
            <w:pPr>
              <w:spacing w:line="336" w:lineRule="auto"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特种作业人员</w:t>
            </w:r>
          </w:p>
        </w:tc>
        <w:tc>
          <w:tcPr>
            <w:tcW w:w="61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36" w:lineRule="auto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1电工作业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高压电工作业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低压电工作业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防爆电气作业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□电力电缆作业 □继电保护作业 □电气试验作业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</w:rPr>
              <w:t>2焊接与热切割作业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熔化焊接与热切割作业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压力焊作业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钎焊作业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3高处作业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登高架设作业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高处安装、维护、拆除作业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4制冷与空调作业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制冷与空调设备运行操作作业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制冷与空调设备安装修理作业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5煤矿安全作业</w:t>
            </w:r>
          </w:p>
          <w:p>
            <w:pPr>
              <w:spacing w:line="336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□煤矿井下电气作业</w:t>
            </w:r>
            <w:r>
              <w:rPr>
                <w:rFonts w:eastAsia="仿宋_GB2312"/>
                <w:kern w:val="0"/>
                <w:sz w:val="24"/>
              </w:rPr>
              <w:t xml:space="preserve">      </w:t>
            </w:r>
            <w:r>
              <w:rPr>
                <w:rFonts w:hint="eastAsia" w:eastAsia="仿宋_GB2312"/>
                <w:kern w:val="0"/>
                <w:sz w:val="24"/>
              </w:rPr>
              <w:t>□煤矿井下爆破作业</w:t>
            </w:r>
          </w:p>
          <w:p>
            <w:pPr>
              <w:spacing w:line="336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□煤矿安全监测监控作业</w:t>
            </w:r>
            <w:r>
              <w:rPr>
                <w:rFonts w:eastAsia="仿宋_GB2312"/>
                <w:kern w:val="0"/>
                <w:sz w:val="24"/>
              </w:rPr>
              <w:t xml:space="preserve">  </w:t>
            </w:r>
            <w:r>
              <w:rPr>
                <w:rFonts w:hint="eastAsia" w:eastAsia="仿宋_GB2312"/>
                <w:kern w:val="0"/>
                <w:sz w:val="24"/>
              </w:rPr>
              <w:t>□煤矿瓦斯检查作业</w:t>
            </w:r>
          </w:p>
          <w:p>
            <w:pPr>
              <w:spacing w:line="336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□煤矿安全检查作业</w:t>
            </w:r>
            <w:r>
              <w:rPr>
                <w:rFonts w:eastAsia="仿宋_GB2312"/>
                <w:kern w:val="0"/>
                <w:sz w:val="24"/>
              </w:rPr>
              <w:t xml:space="preserve">      </w:t>
            </w:r>
            <w:r>
              <w:rPr>
                <w:rFonts w:hint="eastAsia" w:eastAsia="仿宋_GB2312"/>
                <w:kern w:val="0"/>
                <w:sz w:val="24"/>
              </w:rPr>
              <w:t>□煤矿提升机操作作业</w:t>
            </w:r>
          </w:p>
          <w:p>
            <w:pPr>
              <w:spacing w:line="336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□煤矿防突作业</w:t>
            </w:r>
            <w:r>
              <w:rPr>
                <w:rFonts w:eastAsia="仿宋_GB2312"/>
                <w:kern w:val="0"/>
                <w:sz w:val="24"/>
              </w:rPr>
              <w:t xml:space="preserve">          </w:t>
            </w:r>
            <w:r>
              <w:rPr>
                <w:rFonts w:hint="eastAsia" w:eastAsia="仿宋_GB2312"/>
                <w:kern w:val="0"/>
                <w:sz w:val="24"/>
              </w:rPr>
              <w:t>□煤矿瓦斯抽采作业</w:t>
            </w:r>
          </w:p>
          <w:p>
            <w:pPr>
              <w:spacing w:line="336" w:lineRule="auto"/>
            </w:pPr>
            <w:r>
              <w:rPr>
                <w:rFonts w:hint="eastAsia" w:eastAsia="仿宋_GB2312"/>
                <w:kern w:val="0"/>
                <w:sz w:val="24"/>
              </w:rPr>
              <w:t>□煤矿探放水作业</w:t>
            </w:r>
            <w:r>
              <w:rPr>
                <w:rFonts w:hint="eastAsia" w:eastAsia="仿宋_GB2312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eastAsia="仿宋_GB2312"/>
                <w:kern w:val="0"/>
                <w:sz w:val="24"/>
              </w:rPr>
              <w:t>□煤矿采煤机（掘进机）操作作业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6金属非金属矿山安全作业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金属非金属矿井通风作业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金属非金属矿山支柱作业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金属非金属矿山爆破作业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金属非金属矿山排水作业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金属非金属矿山安全检查作业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尾矿作业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金属非金属矿山井下电气作业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金属非金属矿山提升机操作作业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7石油天然气安全作业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司钻作业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8冶金（有色）生产安全作业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煤气作业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9危险化学品安全作业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氯化工艺作业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氟化工艺作业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硝化工艺作业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加氢工艺作业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磺化工艺作业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聚合工艺作业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氧化工艺作业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烷基化工艺作业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过氧化工艺作业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胺基化工艺作业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合成氨工艺作业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重氮化工艺作业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氯碱电解工艺作业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裂解（裂化）工艺作业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化工自动化控制仪表作业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光气及光气化工艺作业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10烟花爆竹安全作业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烟火药制造作业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黑火药制造作业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引火线制造作业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烟花爆竹储存作业</w:t>
            </w:r>
          </w:p>
          <w:p>
            <w:pPr>
              <w:spacing w:line="336" w:lineRule="auto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烟花爆竹产品涉药作业</w:t>
            </w:r>
          </w:p>
        </w:tc>
      </w:tr>
    </w:tbl>
    <w:p>
      <w:pPr>
        <w:widowControl/>
        <w:spacing w:line="560" w:lineRule="exact"/>
        <w:jc w:val="center"/>
        <w:rPr>
          <w:rFonts w:hint="eastAsia" w:ascii="宋体" w:eastAsia="方正小标宋简体"/>
          <w:b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/>
          <w:b/>
          <w:kern w:val="0"/>
          <w:sz w:val="24"/>
        </w:rPr>
        <w:br w:type="page"/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理论考场基本情况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/>
        </w:rPr>
        <w:t>表</w:t>
      </w:r>
    </w:p>
    <w:tbl>
      <w:tblPr>
        <w:tblStyle w:val="4"/>
        <w:tblW w:w="9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2437"/>
        <w:gridCol w:w="1811"/>
        <w:gridCol w:w="2252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理论考场基本情况</w:t>
            </w:r>
          </w:p>
        </w:tc>
        <w:tc>
          <w:tcPr>
            <w:tcW w:w="243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理论考场面积（㎡）</w:t>
            </w:r>
          </w:p>
        </w:tc>
        <w:tc>
          <w:tcPr>
            <w:tcW w:w="181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5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计算机台数</w:t>
            </w:r>
          </w:p>
        </w:tc>
        <w:tc>
          <w:tcPr>
            <w:tcW w:w="130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候考室面积（㎡）</w:t>
            </w:r>
          </w:p>
        </w:tc>
        <w:tc>
          <w:tcPr>
            <w:tcW w:w="1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互联网带宽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38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考务室面积（㎡）</w:t>
            </w:r>
          </w:p>
        </w:tc>
        <w:tc>
          <w:tcPr>
            <w:tcW w:w="1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考场监控摄像头个数（音视频同步）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38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档案室面积（㎡）</w:t>
            </w:r>
          </w:p>
        </w:tc>
        <w:tc>
          <w:tcPr>
            <w:tcW w:w="1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人脸识别设备台数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38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计算机配置</w:t>
            </w:r>
          </w:p>
        </w:tc>
        <w:tc>
          <w:tcPr>
            <w:tcW w:w="5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6" w:hRule="atLeast"/>
        </w:trPr>
        <w:tc>
          <w:tcPr>
            <w:tcW w:w="1389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计算机IP地址汇总：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</w:trPr>
        <w:tc>
          <w:tcPr>
            <w:tcW w:w="1389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其他设备：（可附照片、材料说明）</w:t>
            </w: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8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ind w:left="644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spacing w:line="2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</w:rPr>
      </w:pPr>
    </w:p>
    <w:p>
      <w:pPr>
        <w:spacing w:line="240" w:lineRule="exact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填表说明：</w:t>
      </w:r>
    </w:p>
    <w:p>
      <w:pPr>
        <w:spacing w:line="2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1.“候考室面积”、“考务室面积”、“档案室面积”不计算在“理论考场面积”内。</w:t>
      </w:r>
    </w:p>
    <w:p>
      <w:pPr>
        <w:spacing w:line="2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若理论考场与实操考场设在同一地点，此表无需填报“候考室面积”、“考务室面积”、“档案室面积”，在《特种作业实操考场基本情况表》中填报即可；若理论考场与实操考场设在不同地点，则需分别填报。</w:t>
      </w:r>
    </w:p>
    <w:p>
      <w:pPr>
        <w:spacing w:line="2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3.计算机IP地址录入说明：</w:t>
      </w:r>
    </w:p>
    <w:p>
      <w:pPr>
        <w:spacing w:line="2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（1）请将所有进行理论考试的计算机的IP地址汇总一并填报。</w:t>
      </w:r>
    </w:p>
    <w:p>
      <w:pPr>
        <w:spacing w:line="2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（2）理论考试须在记录IP地址的计算机进行。</w:t>
      </w:r>
    </w:p>
    <w:p>
      <w:pPr>
        <w:spacing w:line="24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（3）记录格式为20台计算机IP地址之间用逗号隔开，例如：1号机-20号机192.168.0.1-192.168.0.20，……。</w:t>
      </w:r>
    </w:p>
    <w:p>
      <w:pPr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特种作业实操考场基本情况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/>
        </w:rPr>
        <w:t>表</w:t>
      </w:r>
    </w:p>
    <w:tbl>
      <w:tblPr>
        <w:tblStyle w:val="4"/>
        <w:tblW w:w="91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553"/>
        <w:gridCol w:w="1334"/>
        <w:gridCol w:w="415"/>
        <w:gridCol w:w="111"/>
        <w:gridCol w:w="1361"/>
        <w:gridCol w:w="277"/>
        <w:gridCol w:w="18"/>
        <w:gridCol w:w="1592"/>
        <w:gridCol w:w="139"/>
        <w:gridCol w:w="411"/>
        <w:gridCol w:w="1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基本情况</w:t>
            </w:r>
          </w:p>
        </w:tc>
        <w:tc>
          <w:tcPr>
            <w:tcW w:w="2413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实操考场面积（㎡）</w:t>
            </w:r>
          </w:p>
        </w:tc>
        <w:tc>
          <w:tcPr>
            <w:tcW w:w="165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14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实操考位数</w:t>
            </w:r>
          </w:p>
        </w:tc>
        <w:tc>
          <w:tcPr>
            <w:tcW w:w="178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候考室面积（㎡）</w:t>
            </w:r>
          </w:p>
        </w:tc>
        <w:tc>
          <w:tcPr>
            <w:tcW w:w="16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考场监控摄像头个数（音视频同步）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考务室面积（㎡）</w:t>
            </w:r>
          </w:p>
        </w:tc>
        <w:tc>
          <w:tcPr>
            <w:tcW w:w="16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人脸识别设备台数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4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档案室面积（㎡）</w:t>
            </w:r>
          </w:p>
        </w:tc>
        <w:tc>
          <w:tcPr>
            <w:tcW w:w="16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库房面积（㎡）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9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实操考试考位设置（可增加附页）</w:t>
            </w:r>
          </w:p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92"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考试工种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考试科目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考位</w:t>
            </w:r>
          </w:p>
        </w:tc>
        <w:tc>
          <w:tcPr>
            <w:tcW w:w="2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考试设备（套）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3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1" w:hRule="atLeast"/>
        </w:trPr>
        <w:tc>
          <w:tcPr>
            <w:tcW w:w="119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99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除考试以外的其他设备：（可附照片、材料说明）</w:t>
            </w: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190" w:type="dxa"/>
            <w:gridSpan w:val="1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考试设备明细（可增加附页）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考试工种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考试科目</w:t>
            </w:r>
          </w:p>
        </w:tc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center" w:pos="826"/>
                <w:tab w:val="right" w:pos="1533"/>
              </w:tabs>
              <w:jc w:val="left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设备名称</w:t>
            </w:r>
          </w:p>
        </w:tc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设备数量</w:t>
            </w: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考位现场照片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（附表后）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49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21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</w:tr>
    </w:tbl>
    <w:p>
      <w:pPr>
        <w:spacing w:line="240" w:lineRule="exact"/>
        <w:jc w:val="left"/>
        <w:rPr>
          <w:rFonts w:hint="eastAsia" w:ascii="仿宋_GB2312" w:hAnsi="仿宋_GB2312" w:eastAsia="仿宋_GB2312" w:cs="仿宋_GB2312"/>
          <w:sz w:val="24"/>
        </w:rPr>
      </w:pPr>
    </w:p>
    <w:p>
      <w:pPr>
        <w:spacing w:line="240" w:lineRule="exact"/>
        <w:jc w:val="left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24"/>
        </w:rPr>
        <w:t>填表说明：“候考室面积”、“考务室面积”、“档案室面积”、“库房面积”不计算在“实操考场面积”内。</w:t>
      </w:r>
    </w:p>
    <w:p>
      <w:pPr>
        <w:spacing w:line="300" w:lineRule="auto"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管理人员汇总表</w:t>
      </w:r>
    </w:p>
    <w:tbl>
      <w:tblPr>
        <w:tblStyle w:val="4"/>
        <w:tblW w:w="91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996"/>
        <w:gridCol w:w="1277"/>
        <w:gridCol w:w="1083"/>
        <w:gridCol w:w="1270"/>
        <w:gridCol w:w="918"/>
        <w:gridCol w:w="1184"/>
        <w:gridCol w:w="1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姓名</w:t>
            </w:r>
          </w:p>
        </w:tc>
        <w:tc>
          <w:tcPr>
            <w:tcW w:w="99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性别</w:t>
            </w:r>
          </w:p>
        </w:tc>
        <w:tc>
          <w:tcPr>
            <w:tcW w:w="12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出生年月</w:t>
            </w:r>
          </w:p>
        </w:tc>
        <w:tc>
          <w:tcPr>
            <w:tcW w:w="108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职务</w:t>
            </w:r>
          </w:p>
        </w:tc>
        <w:tc>
          <w:tcPr>
            <w:tcW w:w="12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学历</w:t>
            </w:r>
          </w:p>
        </w:tc>
        <w:tc>
          <w:tcPr>
            <w:tcW w:w="91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职称</w:t>
            </w:r>
          </w:p>
        </w:tc>
        <w:tc>
          <w:tcPr>
            <w:tcW w:w="118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联系电话</w:t>
            </w:r>
          </w:p>
        </w:tc>
        <w:tc>
          <w:tcPr>
            <w:tcW w:w="122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ind w:left="162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专/兼职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48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</w:tbl>
    <w:p>
      <w:pPr>
        <w:widowControl/>
        <w:spacing w:after="156" w:afterLines="50" w:line="560" w:lineRule="exact"/>
        <w:jc w:val="center"/>
        <w:rPr>
          <w:rFonts w:ascii="宋体"/>
          <w:b/>
          <w:kern w:val="0"/>
          <w:szCs w:val="21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监考人员汇总表</w:t>
      </w:r>
    </w:p>
    <w:tbl>
      <w:tblPr>
        <w:tblStyle w:val="4"/>
        <w:tblW w:w="95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772"/>
        <w:gridCol w:w="814"/>
        <w:gridCol w:w="1677"/>
        <w:gridCol w:w="916"/>
        <w:gridCol w:w="1350"/>
        <w:gridCol w:w="1423"/>
        <w:gridCol w:w="1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证号</w:t>
            </w:r>
          </w:p>
        </w:tc>
        <w:tc>
          <w:tcPr>
            <w:tcW w:w="77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姓名</w:t>
            </w:r>
          </w:p>
        </w:tc>
        <w:tc>
          <w:tcPr>
            <w:tcW w:w="81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性别</w:t>
            </w:r>
          </w:p>
        </w:tc>
        <w:tc>
          <w:tcPr>
            <w:tcW w:w="167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身份证号</w:t>
            </w:r>
          </w:p>
        </w:tc>
        <w:tc>
          <w:tcPr>
            <w:tcW w:w="91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学历</w:t>
            </w:r>
          </w:p>
        </w:tc>
        <w:tc>
          <w:tcPr>
            <w:tcW w:w="135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所学专业</w:t>
            </w:r>
          </w:p>
        </w:tc>
        <w:tc>
          <w:tcPr>
            <w:tcW w:w="142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职称</w:t>
            </w:r>
          </w:p>
        </w:tc>
        <w:tc>
          <w:tcPr>
            <w:tcW w:w="149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ind w:left="162"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2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</w:tbl>
    <w:p>
      <w:pPr>
        <w:widowControl/>
        <w:spacing w:after="156" w:afterLines="50"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</w:pPr>
    </w:p>
    <w:p>
      <w:pPr>
        <w:widowControl/>
        <w:spacing w:after="156" w:afterLines="50" w:line="56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特种作业实操考试考评人员汇总表</w:t>
      </w:r>
    </w:p>
    <w:tbl>
      <w:tblPr>
        <w:tblStyle w:val="4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714"/>
        <w:gridCol w:w="637"/>
        <w:gridCol w:w="1305"/>
        <w:gridCol w:w="705"/>
        <w:gridCol w:w="1304"/>
        <w:gridCol w:w="929"/>
        <w:gridCol w:w="1698"/>
        <w:gridCol w:w="1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证号</w:t>
            </w:r>
          </w:p>
        </w:tc>
        <w:tc>
          <w:tcPr>
            <w:tcW w:w="71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姓名</w:t>
            </w:r>
          </w:p>
        </w:tc>
        <w:tc>
          <w:tcPr>
            <w:tcW w:w="63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性别</w:t>
            </w:r>
          </w:p>
        </w:tc>
        <w:tc>
          <w:tcPr>
            <w:tcW w:w="130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身份证号</w:t>
            </w:r>
          </w:p>
        </w:tc>
        <w:tc>
          <w:tcPr>
            <w:tcW w:w="70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学历</w:t>
            </w:r>
          </w:p>
        </w:tc>
        <w:tc>
          <w:tcPr>
            <w:tcW w:w="130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所学专业</w:t>
            </w:r>
          </w:p>
        </w:tc>
        <w:tc>
          <w:tcPr>
            <w:tcW w:w="92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职称</w:t>
            </w:r>
          </w:p>
        </w:tc>
        <w:tc>
          <w:tcPr>
            <w:tcW w:w="169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考评科目</w:t>
            </w:r>
          </w:p>
        </w:tc>
        <w:tc>
          <w:tcPr>
            <w:tcW w:w="111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1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69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</w:p>
        </w:tc>
      </w:tr>
    </w:tbl>
    <w:p>
      <w:pPr>
        <w:widowControl/>
        <w:spacing w:line="20" w:lineRule="exact"/>
        <w:rPr>
          <w:rFonts w:ascii="宋体" w:hAnsi="宋体"/>
          <w:b/>
          <w:kern w:val="0"/>
          <w:sz w:val="44"/>
          <w:szCs w:val="44"/>
        </w:rPr>
      </w:pPr>
    </w:p>
    <w:p>
      <w:pPr>
        <w:widowControl/>
        <w:spacing w:beforeAutospacing="1"/>
        <w:jc w:val="left"/>
        <w:rPr>
          <w:rFonts w:ascii="宋体" w:hAnsi="宋体"/>
          <w:b/>
          <w:kern w:val="0"/>
          <w:sz w:val="44"/>
          <w:szCs w:val="44"/>
        </w:rPr>
        <w:sectPr>
          <w:pgSz w:w="11907" w:h="16840"/>
          <w:pgMar w:top="1984" w:right="1474" w:bottom="1928" w:left="1474" w:header="720" w:footer="153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>
      <w:pPr>
        <w:widowControl/>
        <w:spacing w:after="156" w:afterLines="50" w:line="560" w:lineRule="exact"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管理制度目录（可增加附页）</w:t>
      </w:r>
    </w:p>
    <w:tbl>
      <w:tblPr>
        <w:tblStyle w:val="4"/>
        <w:tblW w:w="88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5035"/>
        <w:gridCol w:w="1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序号</w:t>
            </w:r>
          </w:p>
        </w:tc>
        <w:tc>
          <w:tcPr>
            <w:tcW w:w="503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制度名称</w:t>
            </w:r>
          </w:p>
        </w:tc>
        <w:tc>
          <w:tcPr>
            <w:tcW w:w="193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bCs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4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503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938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widowControl/>
              <w:rPr>
                <w:rFonts w:ascii="宋体"/>
                <w:b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02F45"/>
    <w:rsid w:val="09D06DDC"/>
    <w:rsid w:val="239C047A"/>
    <w:rsid w:val="2A4620D8"/>
    <w:rsid w:val="34E44036"/>
    <w:rsid w:val="38D40D42"/>
    <w:rsid w:val="3ED87232"/>
    <w:rsid w:val="3F1455AD"/>
    <w:rsid w:val="41447C5B"/>
    <w:rsid w:val="441855AD"/>
    <w:rsid w:val="4ACB1560"/>
    <w:rsid w:val="4D120065"/>
    <w:rsid w:val="5A936498"/>
    <w:rsid w:val="5D091894"/>
    <w:rsid w:val="64D43ACA"/>
    <w:rsid w:val="6E1D0F27"/>
    <w:rsid w:val="6E775DC0"/>
    <w:rsid w:val="75BA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2020-09-08T02:41:00Z</dcterms:created>
  <dc:creator>25472</dc:creator>
  <cp:lastModifiedBy>yaya</cp:lastModifiedBy>
  <dcterms:modified xsi:type="dcterms:W3CDTF">2020-09-22T06:51:41Z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