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942" w:rsidRPr="0081587C" w:rsidRDefault="00F77942" w:rsidP="00D44D00">
      <w:pPr>
        <w:pStyle w:val="a6"/>
        <w:ind w:firstLineChars="0" w:firstLine="0"/>
        <w:rPr>
          <w:rFonts w:ascii="黑体" w:eastAsia="黑体" w:hAnsi="黑体"/>
          <w:kern w:val="0"/>
          <w:sz w:val="30"/>
          <w:szCs w:val="30"/>
        </w:rPr>
      </w:pPr>
      <w:r w:rsidRPr="0081587C">
        <w:rPr>
          <w:rFonts w:ascii="黑体" w:eastAsia="黑体" w:hAnsi="黑体" w:hint="eastAsia"/>
          <w:kern w:val="0"/>
          <w:sz w:val="30"/>
          <w:szCs w:val="30"/>
        </w:rPr>
        <w:t>附件</w:t>
      </w:r>
      <w:r w:rsidRPr="0081587C">
        <w:rPr>
          <w:rFonts w:ascii="黑体" w:eastAsia="黑体" w:hAnsi="黑体"/>
          <w:kern w:val="0"/>
          <w:sz w:val="30"/>
          <w:szCs w:val="30"/>
        </w:rPr>
        <w:t>1</w:t>
      </w:r>
    </w:p>
    <w:p w:rsidR="00F77942" w:rsidRDefault="00F77942" w:rsidP="00D44D00">
      <w:pPr>
        <w:pStyle w:val="a8"/>
        <w:spacing w:line="240" w:lineRule="auto"/>
        <w:rPr>
          <w:rFonts w:ascii="方正小标宋简体" w:cs="方正小标宋简体"/>
          <w:kern w:val="0"/>
          <w:sz w:val="32"/>
          <w:szCs w:val="32"/>
        </w:rPr>
      </w:pPr>
      <w:r w:rsidRPr="0081587C">
        <w:rPr>
          <w:rFonts w:ascii="方正小标宋简体" w:cs="方正小标宋简体" w:hint="eastAsia"/>
          <w:kern w:val="0"/>
          <w:sz w:val="32"/>
          <w:szCs w:val="32"/>
        </w:rPr>
        <w:t>危险化学品和易燃易爆物品单位安全生产检查表</w:t>
      </w:r>
    </w:p>
    <w:p w:rsidR="00F77942" w:rsidRPr="0081587C" w:rsidRDefault="00F77942" w:rsidP="00D44D00"/>
    <w:p w:rsidR="00F77942" w:rsidRPr="006A1E4C" w:rsidRDefault="00F77942" w:rsidP="00D44D00">
      <w:pPr>
        <w:widowControl/>
        <w:jc w:val="left"/>
        <w:rPr>
          <w:rFonts w:ascii="仿宋_GB2312" w:eastAsia="仿宋_GB2312"/>
          <w:kern w:val="0"/>
          <w:sz w:val="32"/>
          <w:szCs w:val="32"/>
        </w:rPr>
      </w:pPr>
      <w:r w:rsidRPr="006A1E4C">
        <w:rPr>
          <w:rFonts w:ascii="仿宋_GB2312" w:eastAsia="仿宋_GB2312" w:hAnsi="Courier New" w:cs="宋体" w:hint="eastAsia"/>
          <w:kern w:val="0"/>
          <w:sz w:val="32"/>
          <w:szCs w:val="32"/>
        </w:rPr>
        <w:t>企业名称：</w:t>
      </w:r>
      <w:r w:rsidRPr="006A1E4C">
        <w:rPr>
          <w:rFonts w:ascii="仿宋_GB2312" w:eastAsia="仿宋_GB2312" w:hAnsi="宋体" w:cs="宋体"/>
          <w:kern w:val="0"/>
          <w:sz w:val="32"/>
          <w:szCs w:val="32"/>
        </w:rPr>
        <w:t xml:space="preserve">                              </w:t>
      </w:r>
      <w:r w:rsidRPr="006A1E4C">
        <w:rPr>
          <w:rFonts w:ascii="仿宋_GB2312" w:eastAsia="仿宋_GB2312" w:hAnsi="Courier New" w:cs="宋体" w:hint="eastAsia"/>
          <w:kern w:val="0"/>
          <w:sz w:val="32"/>
          <w:szCs w:val="32"/>
        </w:rPr>
        <w:t>检查时间：</w:t>
      </w:r>
    </w:p>
    <w:tbl>
      <w:tblPr>
        <w:tblW w:w="96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9"/>
        <w:gridCol w:w="7770"/>
        <w:gridCol w:w="1260"/>
      </w:tblGrid>
      <w:tr w:rsidR="00F77942" w:rsidRPr="006A1E4C" w:rsidTr="00522C81">
        <w:trPr>
          <w:trHeight w:val="300"/>
          <w:jc w:val="center"/>
        </w:trPr>
        <w:tc>
          <w:tcPr>
            <w:tcW w:w="639" w:type="dxa"/>
            <w:vAlign w:val="center"/>
          </w:tcPr>
          <w:p w:rsidR="00F77942" w:rsidRPr="006A1E4C" w:rsidRDefault="00F77942" w:rsidP="00522C81">
            <w:pPr>
              <w:widowControl/>
              <w:jc w:val="center"/>
              <w:rPr>
                <w:rFonts w:ascii="仿宋_GB2312" w:eastAsia="仿宋_GB2312" w:hAnsi="黑体"/>
                <w:kern w:val="0"/>
                <w:sz w:val="32"/>
                <w:szCs w:val="32"/>
              </w:rPr>
            </w:pPr>
            <w:r w:rsidRPr="006A1E4C">
              <w:rPr>
                <w:rFonts w:ascii="仿宋_GB2312" w:eastAsia="仿宋_GB2312" w:hAnsi="黑体" w:cs="黑体" w:hint="eastAsia"/>
                <w:kern w:val="0"/>
                <w:sz w:val="32"/>
                <w:szCs w:val="32"/>
              </w:rPr>
              <w:t>项目</w:t>
            </w:r>
          </w:p>
        </w:tc>
        <w:tc>
          <w:tcPr>
            <w:tcW w:w="7770" w:type="dxa"/>
            <w:vAlign w:val="center"/>
          </w:tcPr>
          <w:p w:rsidR="00F77942" w:rsidRPr="006A1E4C" w:rsidRDefault="00F77942" w:rsidP="00522C81">
            <w:pPr>
              <w:jc w:val="center"/>
              <w:rPr>
                <w:rFonts w:ascii="仿宋_GB2312" w:eastAsia="仿宋_GB2312" w:hAnsi="黑体"/>
                <w:kern w:val="0"/>
                <w:sz w:val="32"/>
                <w:szCs w:val="32"/>
              </w:rPr>
            </w:pPr>
            <w:r w:rsidRPr="006A1E4C">
              <w:rPr>
                <w:rFonts w:ascii="仿宋_GB2312" w:eastAsia="仿宋_GB2312" w:hAnsi="黑体" w:cs="黑体" w:hint="eastAsia"/>
                <w:kern w:val="0"/>
                <w:sz w:val="32"/>
                <w:szCs w:val="32"/>
              </w:rPr>
              <w:t>检</w:t>
            </w:r>
            <w:r w:rsidRPr="006A1E4C">
              <w:rPr>
                <w:rFonts w:ascii="仿宋_GB2312" w:eastAsia="仿宋_GB2312" w:hAnsi="黑体" w:cs="黑体"/>
                <w:kern w:val="0"/>
                <w:sz w:val="32"/>
                <w:szCs w:val="32"/>
              </w:rPr>
              <w:t xml:space="preserve">    </w:t>
            </w:r>
            <w:r w:rsidRPr="006A1E4C">
              <w:rPr>
                <w:rFonts w:ascii="仿宋_GB2312" w:eastAsia="仿宋_GB2312" w:hAnsi="黑体" w:cs="黑体" w:hint="eastAsia"/>
                <w:kern w:val="0"/>
                <w:sz w:val="32"/>
                <w:szCs w:val="32"/>
              </w:rPr>
              <w:t>查</w:t>
            </w:r>
            <w:r w:rsidRPr="006A1E4C">
              <w:rPr>
                <w:rFonts w:ascii="仿宋_GB2312" w:eastAsia="仿宋_GB2312" w:hAnsi="黑体" w:cs="黑体"/>
                <w:kern w:val="0"/>
                <w:sz w:val="32"/>
                <w:szCs w:val="32"/>
              </w:rPr>
              <w:t xml:space="preserve">    </w:t>
            </w:r>
            <w:r w:rsidRPr="006A1E4C">
              <w:rPr>
                <w:rFonts w:ascii="仿宋_GB2312" w:eastAsia="仿宋_GB2312" w:hAnsi="黑体" w:cs="黑体" w:hint="eastAsia"/>
                <w:kern w:val="0"/>
                <w:sz w:val="32"/>
                <w:szCs w:val="32"/>
              </w:rPr>
              <w:t>内</w:t>
            </w:r>
            <w:r w:rsidRPr="006A1E4C">
              <w:rPr>
                <w:rFonts w:ascii="仿宋_GB2312" w:eastAsia="仿宋_GB2312" w:hAnsi="黑体" w:cs="黑体"/>
                <w:kern w:val="0"/>
                <w:sz w:val="32"/>
                <w:szCs w:val="32"/>
              </w:rPr>
              <w:t xml:space="preserve">     </w:t>
            </w:r>
            <w:r w:rsidRPr="006A1E4C">
              <w:rPr>
                <w:rFonts w:ascii="仿宋_GB2312" w:eastAsia="仿宋_GB2312" w:hAnsi="黑体" w:cs="黑体" w:hint="eastAsia"/>
                <w:kern w:val="0"/>
                <w:sz w:val="32"/>
                <w:szCs w:val="32"/>
              </w:rPr>
              <w:t>容</w:t>
            </w:r>
          </w:p>
        </w:tc>
        <w:tc>
          <w:tcPr>
            <w:tcW w:w="1260" w:type="dxa"/>
            <w:vAlign w:val="center"/>
          </w:tcPr>
          <w:p w:rsidR="00F77942" w:rsidRDefault="00F77942" w:rsidP="00522C81">
            <w:pPr>
              <w:widowControl/>
              <w:jc w:val="center"/>
              <w:rPr>
                <w:rFonts w:ascii="仿宋_GB2312" w:eastAsia="仿宋_GB2312" w:hAnsi="黑体" w:cs="黑体"/>
                <w:kern w:val="0"/>
                <w:sz w:val="32"/>
                <w:szCs w:val="32"/>
              </w:rPr>
            </w:pPr>
            <w:r w:rsidRPr="006A1E4C">
              <w:rPr>
                <w:rFonts w:ascii="仿宋_GB2312" w:eastAsia="仿宋_GB2312" w:hAnsi="黑体" w:cs="黑体" w:hint="eastAsia"/>
                <w:kern w:val="0"/>
                <w:sz w:val="32"/>
                <w:szCs w:val="32"/>
              </w:rPr>
              <w:t>检查</w:t>
            </w:r>
          </w:p>
          <w:p w:rsidR="00F77942" w:rsidRPr="006A1E4C" w:rsidRDefault="00F77942" w:rsidP="00522C81">
            <w:pPr>
              <w:widowControl/>
              <w:jc w:val="center"/>
              <w:rPr>
                <w:rFonts w:ascii="仿宋_GB2312" w:eastAsia="仿宋_GB2312" w:hAnsi="黑体"/>
                <w:kern w:val="0"/>
                <w:sz w:val="32"/>
                <w:szCs w:val="32"/>
              </w:rPr>
            </w:pPr>
            <w:r w:rsidRPr="006A1E4C">
              <w:rPr>
                <w:rFonts w:ascii="仿宋_GB2312" w:eastAsia="仿宋_GB2312" w:hAnsi="黑体" w:cs="黑体" w:hint="eastAsia"/>
                <w:kern w:val="0"/>
                <w:sz w:val="32"/>
                <w:szCs w:val="32"/>
              </w:rPr>
              <w:t>情况</w:t>
            </w:r>
          </w:p>
        </w:tc>
      </w:tr>
      <w:tr w:rsidR="00F77942" w:rsidRPr="006A1E4C" w:rsidTr="00522C81">
        <w:trPr>
          <w:trHeight w:val="582"/>
          <w:jc w:val="center"/>
        </w:trPr>
        <w:tc>
          <w:tcPr>
            <w:tcW w:w="639" w:type="dxa"/>
            <w:vMerge w:val="restart"/>
            <w:textDirection w:val="tbRlV"/>
            <w:vAlign w:val="center"/>
          </w:tcPr>
          <w:p w:rsidR="00F77942" w:rsidRPr="006A1E4C" w:rsidRDefault="00F77942" w:rsidP="00522C81">
            <w:pPr>
              <w:widowControl/>
              <w:ind w:left="113" w:right="113"/>
              <w:jc w:val="center"/>
              <w:rPr>
                <w:rFonts w:ascii="仿宋_GB2312" w:eastAsia="仿宋_GB2312"/>
                <w:b/>
                <w:bCs/>
                <w:kern w:val="0"/>
                <w:sz w:val="32"/>
                <w:szCs w:val="32"/>
              </w:rPr>
            </w:pPr>
            <w:r w:rsidRPr="006A1E4C">
              <w:rPr>
                <w:rFonts w:ascii="仿宋_GB2312" w:eastAsia="仿宋_GB2312" w:cs="仿宋_GB2312" w:hint="eastAsia"/>
                <w:b/>
                <w:bCs/>
                <w:kern w:val="0"/>
                <w:sz w:val="32"/>
                <w:szCs w:val="32"/>
              </w:rPr>
              <w:t>生产环节</w:t>
            </w: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企业取得安全生产行政许可依法生产情况（是否依法取得安全生产行政许可，安全生产许可证是否过期，是否存在超许可范围生产）。</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企业安全生产责任制落实情况。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压力容器、压力管道等特种设备安全管理情况。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605"/>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重点监管的危险化工工艺、重点监管危化品和重大危险源的生产（储存）设备（装置）安全管理和自动化系统改造情况。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794"/>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新、改、扩建项目安全</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三同时</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执行情况（是否存在重大变更未履行相关审批手续以及未经试生产备案就擅自投入试生产运行情况）。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401"/>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仪表联锁管理制度的建立和执行情况；仪表完好和联锁自动保护仪表投用情况；重大危险源辨识、登记备案情况；建立健全重大危险源安全监测监控体系，完善控制措施情况；可燃气体泄漏检测报警仪表的投用、完好以及定期检验情况；特种设备、安全附件的定期检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982"/>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动火、进入受限空间、破土、起重、高处、临时用电等作业和开停车安全管理制度执行情况；在生产和施工作业中，</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四防</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（防火、防爆、防中毒、防跑料串料）安全管理制度建立健全和执行情况。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企业主要负责人和安全生产管理人员安全能力培训考核情况；新员工的三级安全教育培训情况；特种作业人员的持证上岗情况。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充装环节安全管理情况。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危险化学品登记情况。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443"/>
          <w:jc w:val="center"/>
        </w:trPr>
        <w:tc>
          <w:tcPr>
            <w:tcW w:w="639" w:type="dxa"/>
            <w:vMerge w:val="restart"/>
            <w:textDirection w:val="tbRlV"/>
            <w:vAlign w:val="center"/>
          </w:tcPr>
          <w:p w:rsidR="00F77942" w:rsidRPr="006A1E4C" w:rsidRDefault="00F77942" w:rsidP="00522C81">
            <w:pPr>
              <w:widowControl/>
              <w:ind w:left="113" w:right="113"/>
              <w:jc w:val="center"/>
              <w:rPr>
                <w:rFonts w:ascii="仿宋_GB2312" w:eastAsia="仿宋_GB2312"/>
                <w:b/>
                <w:bCs/>
                <w:kern w:val="0"/>
                <w:sz w:val="32"/>
                <w:szCs w:val="32"/>
              </w:rPr>
            </w:pPr>
            <w:r w:rsidRPr="006A1E4C">
              <w:rPr>
                <w:rFonts w:ascii="仿宋_GB2312" w:eastAsia="仿宋_GB2312" w:cs="仿宋_GB2312" w:hint="eastAsia"/>
                <w:b/>
                <w:bCs/>
                <w:kern w:val="0"/>
                <w:sz w:val="32"/>
                <w:szCs w:val="32"/>
              </w:rPr>
              <w:t>经营环节</w:t>
            </w: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危险化学品和易燃易爆物品经营单位安全许可经营范围；</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一书一签</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化学品安全技术说明书、化学品安全标签）制度、安全管理规章制度、检维修安全管理制度和岗位安全操作规程的编制及落实情况；安全状况查验制度建立和执行情况；特种作业人员、安全管理人员持证上岗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44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查验、登记剧毒化学品购买凭证、剧毒化学品准购证、剧毒化学品公路运输通行证、运输车辆安装的安全标示牌、危险化学品信息联络卡、槽车罐体惰性气体置换合格证明文件情况；查验剧毒化学品和易制毒化学品销售台帐及流向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408"/>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埋地罐、充装车辆等的设备、仪表、安全附件、报警系统检验情况；防渗漏、防上浮、防雷、防静电措施落实情况；装卸软管水压试验情况；毒介质洗消装置配备情况；防毒面具、空气呼吸器和防化服配备和使用情况；站内外安全距离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725"/>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危险化学品和易燃易爆物品经营市场的规划选址合理规范，入驻经营企业依法经营情况。重点是经营及储存场所、设施的周边安全距离与法规、标准规范的符合性情况；无储存场所、设施的经营企业和票据交易经营场所是否储存危险化学品和易燃易爆物品，经营店面存放的少量危险化学品和易燃易爆物品是否符合有关标准要求。</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2367"/>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危险化学品和易燃易爆物品经营市场及其入驻经营企业安全生产责任体系</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五落实五到位</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情况。重点是市场是否设置市场管理单位并设立专门的安全管理机构或配备安全管理人员；经营市场及其入驻经营企业是否按照《安全生产法》的要求进一步修改、健全相关安全生产规章制度，安全生产职责是否存在交叉、不清的问题；市场安全管理人员和经营企业主要负责人（法定代表人）、安全管理人员及作业人员是否经考核合格上岗。</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55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事故应急预案制定和演练，应急救援人员、器材、设备、物资配备使用的情况。重点是市场管理单位和经营企业是否组建专职或兼职应急救援队伍，是否编制符合实际需求的事故应急预案并定期开展应急培训和演练，预案互相衔接的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828"/>
          <w:jc w:val="center"/>
        </w:trPr>
        <w:tc>
          <w:tcPr>
            <w:tcW w:w="639" w:type="dxa"/>
            <w:vMerge w:val="restart"/>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r w:rsidRPr="006A1E4C">
              <w:rPr>
                <w:rFonts w:ascii="仿宋_GB2312" w:eastAsia="仿宋_GB2312" w:cs="仿宋_GB2312" w:hint="eastAsia"/>
                <w:b/>
                <w:bCs/>
                <w:kern w:val="0"/>
                <w:sz w:val="32"/>
                <w:szCs w:val="32"/>
              </w:rPr>
              <w:lastRenderedPageBreak/>
              <w:t>经营环节</w:t>
            </w: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危险化学品和易燃易爆物品经营市场是否划分零售店面区、专用仓储区、专用停车区。重点是危化品仓储与经营是否相分离，易燃易爆品仓库是否符合防火防爆要求；专用仓库内的危险化学品和易燃易爆物品是否按规定要求采取分离、分开、隔离措施，是否由专人负责管理，禁忌危化品是否同库储存，是否超量、超范围储存。</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131"/>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安全警示标志标识设置情况。重点是危险化学品和易燃易爆物品经营市场及其入驻经营企业的重点区域是否设置安全标志和风险提示；市场入口处是否设立安全告示牌，告知本市场内存在的安全风险及应急措施。</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686"/>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专用仓储区实施封闭式管理情况。重点是专用仓储区是否配置门禁和视频监控系统，是否对进出车辆及人员进行严格的安全检查；进入专用仓储区的运输车辆、驾驶员和押运人员是否具备相应资质，是否佩戴阻火器，是否携带香烟、打火机等点火源进入专用仓储区，是否无证运输、超载运输、混运。</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540"/>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专用仓储区安全设施的完好与运行情况。重点是专用仓储区是否设置必要的报警系统，是否配备消防设施、器材以及必要的防护装备；仓库、备货库及库区防雷、防静电、可燃和有毒有害气体泄漏报警、机械排风、监控、火灾报警、灭火设施、灭火器材等安全、消防设施是否保持完好可用，是否存在超期服役、失效使用和随意移动挪用等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691"/>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专用仓储区是否建立并严格执行装卸安全管理制度。重点是危险化学品和易燃易爆物品运输车辆装卸作业是否有符合安全条件的区域、设备、设施和操作规程，卸车过程与分装过程是否分开进行，是否按规范要求轻装轻卸、文明装运，危化品运输车辆是否在市场内随意进行危化品装桶、分装作业和各种野蛮装卸作业的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691"/>
          <w:jc w:val="center"/>
        </w:trPr>
        <w:tc>
          <w:tcPr>
            <w:tcW w:w="639" w:type="dxa"/>
            <w:vMerge/>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专用仓储区特殊作业安全管理制度制定和落实情况。重点是专用仓储区内进行动火、进入受限空间等特殊作业是否履行严格的审批手续，是否配备监护人员和专门安全管理人员监督作业人员严格按有关操作规程进行操作，对发现的事故隐患及违法行为是否及时采取措施排除和纠正；是否存在未经审批进行特殊作业的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val="restart"/>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r w:rsidRPr="006A1E4C">
              <w:rPr>
                <w:rFonts w:ascii="仿宋_GB2312" w:eastAsia="仿宋_GB2312" w:cs="仿宋_GB2312" w:hint="eastAsia"/>
                <w:b/>
                <w:bCs/>
                <w:kern w:val="0"/>
                <w:sz w:val="32"/>
                <w:szCs w:val="32"/>
              </w:rPr>
              <w:lastRenderedPageBreak/>
              <w:t>储存环节</w:t>
            </w: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企业取得安全生产行政许可依法生产经营情况（是否依法取得安全生产行政许可，安全许可证是否过期，是否存在超许可范围储存）。</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安全监控仪表完善、完好和投用情况；高、低液位报警联锁仪表的完好和投用情况；罐体定期检查制度执行情况。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液体储罐防超温超压、串料跑料、防雷、防汛、防倒塌措施的落实情况。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仪表、安全附件检验情况；检查是否存在超储现象。</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安全生产责任制、安全生产管理制度、安全操作规程建立和执行情况。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外部安全距离。</w:t>
            </w:r>
            <w:r w:rsidRPr="00D933BC">
              <w:rPr>
                <w:rFonts w:ascii="仿宋_GB2312" w:eastAsia="仿宋_GB2312"/>
                <w:kern w:val="0"/>
                <w:sz w:val="28"/>
                <w:szCs w:val="28"/>
              </w:rPr>
              <w:t xml:space="preserve"> </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罐区管理制度制定情况；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特殊作业管理制度制定及执行情况；是否在作业前进行危险、有害因素识别和风险分析；是否针对风险分析结果进行预防和采取控制措施；</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设备设施定期检查，倒罐、清罐、切水、装卸车等环节管理制度建立及落实情况；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04"/>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储罐脱水、装卸过程中，作业人员是否在作业现场；是否经倒空置换、处理合格、系统隔离后在储罐本体及附件进行动火作业；</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9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是否经办理受限空间作业票证后进入储罐内作业；作业过程中是否确保安全隔绝、清洗、置换、通风、监测、用电、监护、抢救等安全措施的落实；</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储罐是否超温、超压、超液位、管线超流速操作；</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668"/>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罐区可燃、有毒气体检测仪报警时，岗位人员是否到现场确认并采取有效控制措施，分析原因并进行记录；</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是否在储罐或与储罐连接的管道内添加强氧化、易聚合、强腐蚀等可能发生剧烈化学反应的物质；</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相邻罐区防止事故相互影响的措施落实情况；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夏季</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四防</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（防雷、防火防爆、防汛、防高温）措施以及应</w:t>
            </w:r>
            <w:r w:rsidRPr="00D933BC">
              <w:rPr>
                <w:rFonts w:ascii="仿宋_GB2312" w:eastAsia="仿宋_GB2312" w:cs="仿宋_GB2312" w:hint="eastAsia"/>
                <w:kern w:val="0"/>
                <w:sz w:val="28"/>
                <w:szCs w:val="28"/>
              </w:rPr>
              <w:lastRenderedPageBreak/>
              <w:t>急物资储备落实情况；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lastRenderedPageBreak/>
              <w:t xml:space="preserve">　</w:t>
            </w: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是否经工艺变更许可后改变储罐设计使用条件；</w:t>
            </w:r>
            <w:r w:rsidRPr="00D933BC">
              <w:rPr>
                <w:rFonts w:ascii="仿宋_GB2312" w:eastAsia="仿宋_GB2312"/>
                <w:kern w:val="0"/>
                <w:sz w:val="28"/>
                <w:szCs w:val="28"/>
              </w:rPr>
              <w:t xml:space="preserve"> </w:t>
            </w:r>
          </w:p>
        </w:tc>
        <w:tc>
          <w:tcPr>
            <w:tcW w:w="1260" w:type="dxa"/>
            <w:vMerge w:val="restart"/>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82"/>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储存温度下饱和蒸汽压大于或等于大气压的物料是否采用压力罐储存；</w:t>
            </w:r>
          </w:p>
        </w:tc>
        <w:tc>
          <w:tcPr>
            <w:tcW w:w="1260" w:type="dxa"/>
            <w:vMerge/>
            <w:vAlign w:val="center"/>
          </w:tcPr>
          <w:p w:rsidR="00F77942" w:rsidRPr="006A1E4C" w:rsidRDefault="00F77942" w:rsidP="00522C81">
            <w:pPr>
              <w:widowControl/>
              <w:jc w:val="left"/>
              <w:rPr>
                <w:rFonts w:ascii="仿宋_GB2312" w:eastAsia="仿宋_GB2312"/>
                <w:kern w:val="0"/>
                <w:sz w:val="32"/>
                <w:szCs w:val="32"/>
              </w:rPr>
            </w:pPr>
          </w:p>
        </w:tc>
      </w:tr>
      <w:tr w:rsidR="00F77942" w:rsidRPr="006A1E4C" w:rsidTr="00522C81">
        <w:trPr>
          <w:trHeight w:val="27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吸取事故教训，对设计进行复核并对存在的问题进行整改情况；</w:t>
            </w:r>
          </w:p>
        </w:tc>
        <w:tc>
          <w:tcPr>
            <w:tcW w:w="1260" w:type="dxa"/>
            <w:vMerge/>
            <w:vAlign w:val="center"/>
          </w:tcPr>
          <w:p w:rsidR="00F77942" w:rsidRPr="006A1E4C" w:rsidRDefault="00F77942" w:rsidP="00522C81">
            <w:pPr>
              <w:widowControl/>
              <w:jc w:val="left"/>
              <w:rPr>
                <w:rFonts w:ascii="仿宋_GB2312" w:eastAsia="仿宋_GB2312"/>
                <w:kern w:val="0"/>
                <w:sz w:val="32"/>
                <w:szCs w:val="32"/>
              </w:rPr>
            </w:pP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防火堤和防火隔堤设置情况；</w:t>
            </w:r>
          </w:p>
        </w:tc>
        <w:tc>
          <w:tcPr>
            <w:tcW w:w="1260" w:type="dxa"/>
            <w:vMerge/>
            <w:vAlign w:val="center"/>
          </w:tcPr>
          <w:p w:rsidR="00F77942" w:rsidRPr="006A1E4C" w:rsidRDefault="00F77942" w:rsidP="00522C81">
            <w:pPr>
              <w:widowControl/>
              <w:jc w:val="left"/>
              <w:rPr>
                <w:rFonts w:ascii="仿宋_GB2312" w:eastAsia="仿宋_GB2312"/>
                <w:kern w:val="0"/>
                <w:sz w:val="32"/>
                <w:szCs w:val="32"/>
              </w:rPr>
            </w:pP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储罐根部阀和紧急切断阀设置和运行情况；</w:t>
            </w:r>
          </w:p>
        </w:tc>
        <w:tc>
          <w:tcPr>
            <w:tcW w:w="1260" w:type="dxa"/>
            <w:vMerge/>
            <w:vAlign w:val="center"/>
          </w:tcPr>
          <w:p w:rsidR="00F77942" w:rsidRPr="006A1E4C" w:rsidRDefault="00F77942" w:rsidP="00522C81">
            <w:pPr>
              <w:widowControl/>
              <w:jc w:val="left"/>
              <w:rPr>
                <w:rFonts w:ascii="仿宋_GB2312" w:eastAsia="仿宋_GB2312"/>
                <w:kern w:val="0"/>
                <w:sz w:val="32"/>
                <w:szCs w:val="32"/>
              </w:rPr>
            </w:pPr>
          </w:p>
        </w:tc>
      </w:tr>
      <w:tr w:rsidR="00F77942" w:rsidRPr="006A1E4C" w:rsidTr="00522C81">
        <w:trPr>
          <w:trHeight w:val="30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液位、温度、压力监测仪表设置和运行情况；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623"/>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油罐液位超高报警和自动联锁装置设置和运行情况，油罐超低液位自动停泵措施设置和运行情况；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42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大型、液化烃及剧毒化学品储罐是否设置远程紧急切断阀；</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可燃、有毒、有害气体泄漏和火灾自动检测及报警系统配置和运行情况；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电气系统的管理情况，现场电气设备的防爆措施落实情况，应急电源配备情况；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457"/>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避雷、防静电设施的配置及定期检修、检测情况；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407"/>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原油储罐浮顶密封完好情况，一、二次密封之间可燃气体是否超标；</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压力容器压力管道安全管理制度、操作规程的建立和执行情况；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按规定设置压力容器压力管道安全管理机构、配置专职的压力容器压力管道安全管理人员情况。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870"/>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特种设备操作岗位责任制度、隐患排查治理制度、应急救援制度等安全管理制度制定和执行记录；</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压力容器压力管道操作规程、工艺规程（特别是物料倒排工艺规程）的制定和执行情况；</w:t>
            </w:r>
            <w:r w:rsidRPr="00D933BC">
              <w:rPr>
                <w:rFonts w:ascii="仿宋_GB2312" w:eastAsia="仿宋_GB2312"/>
                <w:kern w:val="0"/>
                <w:sz w:val="28"/>
                <w:szCs w:val="28"/>
              </w:rPr>
              <w:t xml:space="preserve"> </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822"/>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使用登记、安全技术档案的建立情况，包括设计文件、产品质量合格证明、安装及使用说明、制造及安装监督检验证书等相关技术资料和文件完备情况；使用登记证；定期自行检查记录；定期检验报告及有效期情况；安全附件的维护保养、定期校验及更换记录情况；安全阀下方截止阀铅封检查记录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压力容器压力管道安全管理人员、压力容器压力管道操作人员持证上岗及培训记录；</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58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压力容器压力管道的铭牌、标志完好情况，压力容器压力管道上标示使用证号情况；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97"/>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压力容器压力管道外观完好情况，是否存在跑、冒、滴、漏等现象；</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355"/>
          <w:jc w:val="center"/>
        </w:trPr>
        <w:tc>
          <w:tcPr>
            <w:tcW w:w="639" w:type="dxa"/>
            <w:vMerge/>
            <w:vAlign w:val="center"/>
          </w:tcPr>
          <w:p w:rsidR="00F77942" w:rsidRPr="006A1E4C" w:rsidRDefault="00F77942" w:rsidP="00522C81">
            <w:pPr>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安全附件情况，包括超压泄放是否按规定引入高空排放或火炬系统；安全阀和排放口设置截止阀时是否符合规定，截止阀是否处于全开位置、其铅封是否完好；爆破片装置是否按照规定定期更换；接地装置是否完好；压力表是否在校验有效期；</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2117"/>
          <w:jc w:val="center"/>
        </w:trPr>
        <w:tc>
          <w:tcPr>
            <w:tcW w:w="639" w:type="dxa"/>
            <w:vMerge/>
            <w:vAlign w:val="center"/>
          </w:tcPr>
          <w:p w:rsidR="00F77942" w:rsidRPr="006A1E4C" w:rsidRDefault="00F77942" w:rsidP="00522C81">
            <w:pPr>
              <w:widowControl/>
              <w:jc w:val="center"/>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消防全机构与职责落实情况，包括是否落实逐级消防安全责任制和消防安全管理制度；是否按照有关规定设立了消防安全管理机构；是否落实消防安全</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户籍化</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管理，定期向消防部门报告备案单位消防安全责任人和管理人依法履职情况、消防设施维护保养情况、消防安全</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四个能力</w:t>
            </w:r>
            <w:r w:rsidRPr="00D933BC">
              <w:rPr>
                <w:rFonts w:ascii="仿宋_GB2312" w:eastAsia="仿宋_GB2312" w:hint="eastAsia"/>
                <w:kern w:val="0"/>
                <w:sz w:val="28"/>
                <w:szCs w:val="28"/>
              </w:rPr>
              <w:t>”</w:t>
            </w:r>
            <w:r w:rsidRPr="00D933BC">
              <w:rPr>
                <w:rFonts w:ascii="仿宋_GB2312" w:eastAsia="仿宋_GB2312" w:cs="仿宋_GB2312" w:hint="eastAsia"/>
                <w:kern w:val="0"/>
                <w:sz w:val="28"/>
                <w:szCs w:val="28"/>
              </w:rPr>
              <w:t>（检查消除火灾隐患的能力、组织扑救初起火灾的能力、组织人员疏散逃生的能力、消防宣传教育培训的能力）建设自我评估情况；</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125"/>
          <w:jc w:val="center"/>
        </w:trPr>
        <w:tc>
          <w:tcPr>
            <w:tcW w:w="639" w:type="dxa"/>
            <w:vMerge/>
            <w:vAlign w:val="center"/>
          </w:tcPr>
          <w:p w:rsidR="00F77942" w:rsidRPr="006A1E4C" w:rsidRDefault="00F77942" w:rsidP="00522C81">
            <w:pPr>
              <w:widowControl/>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火灾隐患排查治理情况，包括是否按要求开展消防安全检查、防火巡查；对发现的火灾隐患是否制定整改措施、明确整改责任及期限、落实整改资金，及时组织整改，并加强整改期间的火灾防范措施。</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254"/>
          <w:jc w:val="center"/>
        </w:trPr>
        <w:tc>
          <w:tcPr>
            <w:tcW w:w="639" w:type="dxa"/>
            <w:vMerge/>
            <w:vAlign w:val="center"/>
          </w:tcPr>
          <w:p w:rsidR="00F77942" w:rsidRPr="006A1E4C" w:rsidRDefault="00F77942" w:rsidP="00522C81">
            <w:pPr>
              <w:widowControl/>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消防安全培训教育情况，包括消防安全责任人、消防安全管理人是否经过消防安全培训；消防控制室、消防泵房等重点岗位值班操作人员是否熟悉应急处置程序，是否按规定持证上岗；是否定期开展员工消防安全培训教育以及上岗、转岗前培训；</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2121"/>
          <w:jc w:val="center"/>
        </w:trPr>
        <w:tc>
          <w:tcPr>
            <w:tcW w:w="639" w:type="dxa"/>
            <w:vMerge/>
            <w:vAlign w:val="center"/>
          </w:tcPr>
          <w:p w:rsidR="00F77942" w:rsidRPr="006A1E4C" w:rsidRDefault="00F77942" w:rsidP="00522C81">
            <w:pPr>
              <w:widowControl/>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消防设施的配备及使用情况以及定期检验和维修情况，包括泡沫灭火系统、火灾自动报警系统、火灾报警电话和户外手动报警设施，是否保持完整好用；是否按要求配置灭火器，配置类型和数量是否符合要求；消防泵房是否设置有独立的备用电源，断电情况下能否迅速启动；罐区是否设有独立消防给水系统，能否满足扑救最大储罐所需的冷却和灭火用水需要；地上立式储罐是否设置固定或移动式消防冷却水系统；</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725"/>
          <w:jc w:val="center"/>
        </w:trPr>
        <w:tc>
          <w:tcPr>
            <w:tcW w:w="639" w:type="dxa"/>
            <w:vMerge/>
            <w:vAlign w:val="center"/>
          </w:tcPr>
          <w:p w:rsidR="00F77942" w:rsidRPr="006A1E4C" w:rsidRDefault="00F77942" w:rsidP="00522C81">
            <w:pPr>
              <w:widowControl/>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专职消防队建设情况，包括是否依据《消防法》成立专职消防队伍；是否按标准配备专职消防队员，明确组织机构和任务职责；大中型企业是否配备大功率的水罐消防车、泡沫消防车、高喷消防车等灭火车辆，以及移动炮等大流量、远射程的灭火装备；消防车辆装备器材是否完整好用；</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3226"/>
          <w:jc w:val="center"/>
        </w:trPr>
        <w:tc>
          <w:tcPr>
            <w:tcW w:w="639" w:type="dxa"/>
            <w:vMerge/>
            <w:vAlign w:val="center"/>
          </w:tcPr>
          <w:p w:rsidR="00F77942" w:rsidRPr="006A1E4C" w:rsidRDefault="00F77942" w:rsidP="00522C81">
            <w:pPr>
              <w:widowControl/>
              <w:jc w:val="left"/>
              <w:rPr>
                <w:rFonts w:ascii="仿宋_GB2312" w:eastAsia="仿宋_GB2312"/>
                <w:b/>
                <w:bCs/>
                <w:kern w:val="0"/>
                <w:sz w:val="32"/>
                <w:szCs w:val="32"/>
              </w:rPr>
            </w:pP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灭火救援工作情况，包括是否针对罐区重点部位、区域或场所制定灭火救援预案和应急处置工作规程；是否结合灭火救援预案定期开展消防演练，演练内容记录是否完整、规范；罐区是否设有环行消防车道，相邻罐组防火堤外之间是否留有消防通道；专职消防队伍是否定期主动与公安消防机构进行灭火实战演练；专职消防队伍是否主动与公安消防机构建立通信联络手段，是否配备对讲机等器材，能否与公安消防机构互联互通；现场对专职消防队进行出警拉动，检查是否符合出警要求；是否具备紧急断电情况下切断油料、输气管道供给的关阀措施；是否储备有满足扑救最大单体油气罐火灾需要的泡沫灭火剂。</w:t>
            </w:r>
          </w:p>
        </w:tc>
        <w:tc>
          <w:tcPr>
            <w:tcW w:w="1260" w:type="dxa"/>
            <w:vAlign w:val="center"/>
          </w:tcPr>
          <w:p w:rsidR="00F77942" w:rsidRPr="006A1E4C" w:rsidRDefault="00F77942" w:rsidP="00522C81">
            <w:pPr>
              <w:widowControl/>
              <w:jc w:val="center"/>
              <w:rPr>
                <w:rFonts w:ascii="仿宋_GB2312" w:eastAsia="仿宋_GB2312"/>
                <w:kern w:val="0"/>
                <w:sz w:val="32"/>
                <w:szCs w:val="32"/>
              </w:rPr>
            </w:pPr>
            <w:r w:rsidRPr="006A1E4C">
              <w:rPr>
                <w:rFonts w:ascii="仿宋_GB2312" w:eastAsia="仿宋_GB2312" w:cs="仿宋_GB2312" w:hint="eastAsia"/>
                <w:kern w:val="0"/>
                <w:sz w:val="32"/>
                <w:szCs w:val="32"/>
              </w:rPr>
              <w:t xml:space="preserve">　</w:t>
            </w:r>
          </w:p>
        </w:tc>
      </w:tr>
      <w:tr w:rsidR="00F77942" w:rsidRPr="006A1E4C" w:rsidTr="00522C81">
        <w:trPr>
          <w:trHeight w:val="1643"/>
          <w:jc w:val="center"/>
        </w:trPr>
        <w:tc>
          <w:tcPr>
            <w:tcW w:w="639" w:type="dxa"/>
            <w:textDirection w:val="tbRlV"/>
            <w:vAlign w:val="center"/>
          </w:tcPr>
          <w:p w:rsidR="00F77942" w:rsidRPr="006A1E4C" w:rsidRDefault="00F77942" w:rsidP="00522C81">
            <w:pPr>
              <w:widowControl/>
              <w:ind w:left="113" w:right="113"/>
              <w:jc w:val="left"/>
              <w:rPr>
                <w:rFonts w:ascii="仿宋_GB2312" w:eastAsia="仿宋_GB2312"/>
                <w:b/>
                <w:bCs/>
                <w:kern w:val="0"/>
                <w:sz w:val="32"/>
                <w:szCs w:val="32"/>
              </w:rPr>
            </w:pPr>
            <w:r w:rsidRPr="006A1E4C">
              <w:rPr>
                <w:rFonts w:ascii="仿宋_GB2312" w:eastAsia="仿宋_GB2312" w:cs="仿宋_GB2312" w:hint="eastAsia"/>
                <w:b/>
                <w:bCs/>
                <w:kern w:val="0"/>
                <w:sz w:val="32"/>
                <w:szCs w:val="32"/>
              </w:rPr>
              <w:t>运输环节</w:t>
            </w:r>
          </w:p>
        </w:tc>
        <w:tc>
          <w:tcPr>
            <w:tcW w:w="7770" w:type="dxa"/>
            <w:vAlign w:val="center"/>
          </w:tcPr>
          <w:p w:rsidR="00F77942" w:rsidRPr="00D933BC" w:rsidRDefault="00F77942" w:rsidP="00D933BC">
            <w:pPr>
              <w:spacing w:line="400" w:lineRule="exact"/>
              <w:jc w:val="left"/>
              <w:rPr>
                <w:rFonts w:ascii="仿宋_GB2312" w:eastAsia="仿宋_GB2312"/>
                <w:kern w:val="0"/>
                <w:sz w:val="28"/>
                <w:szCs w:val="28"/>
              </w:rPr>
            </w:pPr>
            <w:r w:rsidRPr="00D933BC">
              <w:rPr>
                <w:rFonts w:ascii="仿宋_GB2312" w:eastAsia="仿宋_GB2312" w:cs="仿宋_GB2312" w:hint="eastAsia"/>
                <w:kern w:val="0"/>
                <w:sz w:val="28"/>
                <w:szCs w:val="28"/>
              </w:rPr>
              <w:t>运输危险化学品和易燃易爆物品的企业、车辆、驾驶员、押运员是否取得相应资质；是否超速、超载；是否按核定路线行驶等。</w:t>
            </w:r>
          </w:p>
        </w:tc>
        <w:tc>
          <w:tcPr>
            <w:tcW w:w="1260" w:type="dxa"/>
            <w:vAlign w:val="center"/>
          </w:tcPr>
          <w:p w:rsidR="00F77942" w:rsidRPr="006A1E4C" w:rsidRDefault="00F77942" w:rsidP="00522C81">
            <w:pPr>
              <w:widowControl/>
              <w:jc w:val="center"/>
              <w:rPr>
                <w:rFonts w:ascii="仿宋_GB2312" w:eastAsia="仿宋_GB2312"/>
                <w:kern w:val="0"/>
                <w:sz w:val="32"/>
                <w:szCs w:val="32"/>
              </w:rPr>
            </w:pPr>
          </w:p>
        </w:tc>
      </w:tr>
    </w:tbl>
    <w:p w:rsidR="00F77942" w:rsidRDefault="00F77942" w:rsidP="00D44D00">
      <w:pPr>
        <w:rPr>
          <w:rFonts w:ascii="仿宋_GB2312" w:eastAsia="仿宋_GB2312"/>
          <w:sz w:val="30"/>
          <w:szCs w:val="30"/>
        </w:rPr>
      </w:pPr>
    </w:p>
    <w:p w:rsidR="00F77942" w:rsidRPr="006A1E4C" w:rsidRDefault="00E03599" w:rsidP="00E03599">
      <w:pPr>
        <w:rPr>
          <w:sz w:val="32"/>
          <w:szCs w:val="32"/>
        </w:rPr>
      </w:pPr>
      <w:r w:rsidRPr="006A1E4C">
        <w:rPr>
          <w:sz w:val="32"/>
          <w:szCs w:val="32"/>
        </w:rPr>
        <w:t xml:space="preserve"> </w:t>
      </w:r>
    </w:p>
    <w:p w:rsidR="00F77942" w:rsidRPr="00D44D00" w:rsidRDefault="00F77942" w:rsidP="00D44D00">
      <w:pPr>
        <w:rPr>
          <w:szCs w:val="32"/>
        </w:rPr>
      </w:pPr>
    </w:p>
    <w:sectPr w:rsidR="00F77942" w:rsidRPr="00D44D00" w:rsidSect="005D120A">
      <w:headerReference w:type="default" r:id="rId7"/>
      <w:footerReference w:type="even" r:id="rId8"/>
      <w:footerReference w:type="default" r:id="rId9"/>
      <w:pgSz w:w="11906" w:h="16838"/>
      <w:pgMar w:top="1418" w:right="1418" w:bottom="1701"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E02" w:rsidRDefault="006E4E02" w:rsidP="000039EE">
      <w:r>
        <w:separator/>
      </w:r>
    </w:p>
  </w:endnote>
  <w:endnote w:type="continuationSeparator" w:id="0">
    <w:p w:rsidR="006E4E02" w:rsidRDefault="006E4E02" w:rsidP="000039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42" w:rsidRPr="00EB72CD" w:rsidRDefault="00F77942">
    <w:pPr>
      <w:pStyle w:val="a4"/>
      <w:rPr>
        <w:rFonts w:ascii="仿宋_GB2312" w:eastAsia="仿宋_GB2312"/>
        <w:sz w:val="28"/>
        <w:szCs w:val="28"/>
      </w:rPr>
    </w:pPr>
    <w:r>
      <w:rPr>
        <w:rFonts w:ascii="仿宋_GB2312" w:eastAsia="仿宋_GB2312"/>
        <w:sz w:val="28"/>
        <w:szCs w:val="28"/>
      </w:rPr>
      <w:t>—</w:t>
    </w:r>
    <w:r w:rsidR="00C9213B" w:rsidRPr="00EB72CD">
      <w:rPr>
        <w:rFonts w:ascii="仿宋_GB2312" w:eastAsia="仿宋_GB2312"/>
        <w:sz w:val="28"/>
        <w:szCs w:val="28"/>
      </w:rPr>
      <w:fldChar w:fldCharType="begin"/>
    </w:r>
    <w:r w:rsidRPr="00EB72CD">
      <w:rPr>
        <w:rFonts w:ascii="仿宋_GB2312" w:eastAsia="仿宋_GB2312"/>
        <w:sz w:val="28"/>
        <w:szCs w:val="28"/>
      </w:rPr>
      <w:instrText xml:space="preserve"> PAGE   \* MERGEFORMAT </w:instrText>
    </w:r>
    <w:r w:rsidR="00C9213B" w:rsidRPr="00EB72CD">
      <w:rPr>
        <w:rFonts w:ascii="仿宋_GB2312" w:eastAsia="仿宋_GB2312"/>
        <w:sz w:val="28"/>
        <w:szCs w:val="28"/>
      </w:rPr>
      <w:fldChar w:fldCharType="separate"/>
    </w:r>
    <w:r w:rsidR="00E03599" w:rsidRPr="00E03599">
      <w:rPr>
        <w:rFonts w:ascii="仿宋_GB2312" w:eastAsia="仿宋_GB2312"/>
        <w:noProof/>
        <w:sz w:val="28"/>
        <w:szCs w:val="28"/>
        <w:lang w:val="zh-CN"/>
      </w:rPr>
      <w:t>8</w:t>
    </w:r>
    <w:r w:rsidR="00C9213B" w:rsidRPr="00EB72CD">
      <w:rPr>
        <w:rFonts w:ascii="仿宋_GB2312" w:eastAsia="仿宋_GB2312"/>
        <w:sz w:val="28"/>
        <w:szCs w:val="28"/>
      </w:rPr>
      <w:fldChar w:fldCharType="end"/>
    </w:r>
    <w:r>
      <w:rPr>
        <w:rFonts w:ascii="仿宋_GB2312" w:eastAsia="仿宋_GB2312"/>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42" w:rsidRDefault="00F77942" w:rsidP="003F30B6">
    <w:pPr>
      <w:pStyle w:val="a4"/>
      <w:jc w:val="right"/>
    </w:pPr>
    <w:r>
      <w:rPr>
        <w:rFonts w:ascii="仿宋_GB2312" w:eastAsia="仿宋_GB2312"/>
        <w:sz w:val="28"/>
        <w:szCs w:val="28"/>
      </w:rPr>
      <w:t>—</w:t>
    </w:r>
    <w:r w:rsidR="00C9213B" w:rsidRPr="00FC6D84">
      <w:rPr>
        <w:rFonts w:ascii="仿宋_GB2312" w:eastAsia="仿宋_GB2312"/>
        <w:sz w:val="28"/>
        <w:szCs w:val="28"/>
      </w:rPr>
      <w:fldChar w:fldCharType="begin"/>
    </w:r>
    <w:r w:rsidRPr="00FC6D84">
      <w:rPr>
        <w:rFonts w:ascii="仿宋_GB2312" w:eastAsia="仿宋_GB2312"/>
        <w:sz w:val="28"/>
        <w:szCs w:val="28"/>
      </w:rPr>
      <w:instrText xml:space="preserve"> PAGE   \* MERGEFORMAT </w:instrText>
    </w:r>
    <w:r w:rsidR="00C9213B" w:rsidRPr="00FC6D84">
      <w:rPr>
        <w:rFonts w:ascii="仿宋_GB2312" w:eastAsia="仿宋_GB2312"/>
        <w:sz w:val="28"/>
        <w:szCs w:val="28"/>
      </w:rPr>
      <w:fldChar w:fldCharType="separate"/>
    </w:r>
    <w:r w:rsidR="00E03599" w:rsidRPr="00E03599">
      <w:rPr>
        <w:rFonts w:ascii="仿宋_GB2312" w:eastAsia="仿宋_GB2312"/>
        <w:noProof/>
        <w:sz w:val="28"/>
        <w:szCs w:val="28"/>
        <w:lang w:val="zh-CN"/>
      </w:rPr>
      <w:t>7</w:t>
    </w:r>
    <w:r w:rsidR="00C9213B" w:rsidRPr="00FC6D84">
      <w:rPr>
        <w:rFonts w:ascii="仿宋_GB2312" w:eastAsia="仿宋_GB2312"/>
        <w:sz w:val="28"/>
        <w:szCs w:val="28"/>
      </w:rPr>
      <w:fldChar w:fldCharType="end"/>
    </w:r>
    <w:r>
      <w:rPr>
        <w:rFonts w:ascii="仿宋_GB2312" w:eastAsia="仿宋_GB2312"/>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E02" w:rsidRDefault="006E4E02" w:rsidP="000039EE">
      <w:r>
        <w:separator/>
      </w:r>
    </w:p>
  </w:footnote>
  <w:footnote w:type="continuationSeparator" w:id="0">
    <w:p w:rsidR="006E4E02" w:rsidRDefault="006E4E02" w:rsidP="000039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942" w:rsidRDefault="00F77942" w:rsidP="00536767">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0367C"/>
    <w:multiLevelType w:val="hybridMultilevel"/>
    <w:tmpl w:val="63C63BC0"/>
    <w:lvl w:ilvl="0" w:tplc="AC3615AA">
      <w:start w:val="1"/>
      <w:numFmt w:val="japaneseCounting"/>
      <w:lvlText w:val="%1、"/>
      <w:lvlJc w:val="left"/>
      <w:pPr>
        <w:ind w:left="1456" w:hanging="720"/>
      </w:pPr>
      <w:rPr>
        <w:rFonts w:cs="Times New Roman" w:hint="default"/>
      </w:rPr>
    </w:lvl>
    <w:lvl w:ilvl="1" w:tplc="04090019" w:tentative="1">
      <w:start w:val="1"/>
      <w:numFmt w:val="lowerLetter"/>
      <w:lvlText w:val="%2)"/>
      <w:lvlJc w:val="left"/>
      <w:pPr>
        <w:ind w:left="1576" w:hanging="420"/>
      </w:pPr>
      <w:rPr>
        <w:rFonts w:cs="Times New Roman"/>
      </w:rPr>
    </w:lvl>
    <w:lvl w:ilvl="2" w:tplc="0409001B" w:tentative="1">
      <w:start w:val="1"/>
      <w:numFmt w:val="lowerRoman"/>
      <w:lvlText w:val="%3."/>
      <w:lvlJc w:val="right"/>
      <w:pPr>
        <w:ind w:left="1996" w:hanging="420"/>
      </w:pPr>
      <w:rPr>
        <w:rFonts w:cs="Times New Roman"/>
      </w:rPr>
    </w:lvl>
    <w:lvl w:ilvl="3" w:tplc="0409000F" w:tentative="1">
      <w:start w:val="1"/>
      <w:numFmt w:val="decimal"/>
      <w:lvlText w:val="%4."/>
      <w:lvlJc w:val="left"/>
      <w:pPr>
        <w:ind w:left="2416" w:hanging="420"/>
      </w:pPr>
      <w:rPr>
        <w:rFonts w:cs="Times New Roman"/>
      </w:rPr>
    </w:lvl>
    <w:lvl w:ilvl="4" w:tplc="04090019" w:tentative="1">
      <w:start w:val="1"/>
      <w:numFmt w:val="lowerLetter"/>
      <w:lvlText w:val="%5)"/>
      <w:lvlJc w:val="left"/>
      <w:pPr>
        <w:ind w:left="2836" w:hanging="420"/>
      </w:pPr>
      <w:rPr>
        <w:rFonts w:cs="Times New Roman"/>
      </w:rPr>
    </w:lvl>
    <w:lvl w:ilvl="5" w:tplc="0409001B" w:tentative="1">
      <w:start w:val="1"/>
      <w:numFmt w:val="lowerRoman"/>
      <w:lvlText w:val="%6."/>
      <w:lvlJc w:val="right"/>
      <w:pPr>
        <w:ind w:left="3256" w:hanging="420"/>
      </w:pPr>
      <w:rPr>
        <w:rFonts w:cs="Times New Roman"/>
      </w:rPr>
    </w:lvl>
    <w:lvl w:ilvl="6" w:tplc="0409000F" w:tentative="1">
      <w:start w:val="1"/>
      <w:numFmt w:val="decimal"/>
      <w:lvlText w:val="%7."/>
      <w:lvlJc w:val="left"/>
      <w:pPr>
        <w:ind w:left="3676" w:hanging="420"/>
      </w:pPr>
      <w:rPr>
        <w:rFonts w:cs="Times New Roman"/>
      </w:rPr>
    </w:lvl>
    <w:lvl w:ilvl="7" w:tplc="04090019" w:tentative="1">
      <w:start w:val="1"/>
      <w:numFmt w:val="lowerLetter"/>
      <w:lvlText w:val="%8)"/>
      <w:lvlJc w:val="left"/>
      <w:pPr>
        <w:ind w:left="4096" w:hanging="420"/>
      </w:pPr>
      <w:rPr>
        <w:rFonts w:cs="Times New Roman"/>
      </w:rPr>
    </w:lvl>
    <w:lvl w:ilvl="8" w:tplc="0409001B" w:tentative="1">
      <w:start w:val="1"/>
      <w:numFmt w:val="lowerRoman"/>
      <w:lvlText w:val="%9."/>
      <w:lvlJc w:val="right"/>
      <w:pPr>
        <w:ind w:left="4516" w:hanging="420"/>
      </w:pPr>
      <w:rPr>
        <w:rFonts w:cs="Times New Roman"/>
      </w:rPr>
    </w:lvl>
  </w:abstractNum>
  <w:abstractNum w:abstractNumId="1">
    <w:nsid w:val="317F10CD"/>
    <w:multiLevelType w:val="hybridMultilevel"/>
    <w:tmpl w:val="E7F0875E"/>
    <w:lvl w:ilvl="0" w:tplc="9626B220">
      <w:start w:val="1"/>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2">
    <w:nsid w:val="7DD936A4"/>
    <w:multiLevelType w:val="hybridMultilevel"/>
    <w:tmpl w:val="4A40DE30"/>
    <w:lvl w:ilvl="0" w:tplc="8CA4F5C0">
      <w:start w:val="2"/>
      <w:numFmt w:val="japaneseCounting"/>
      <w:lvlText w:val="%1、"/>
      <w:lvlJc w:val="left"/>
      <w:pPr>
        <w:ind w:left="1360" w:hanging="72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39EE"/>
    <w:rsid w:val="000039EE"/>
    <w:rsid w:val="00007021"/>
    <w:rsid w:val="00022633"/>
    <w:rsid w:val="000356F9"/>
    <w:rsid w:val="00050755"/>
    <w:rsid w:val="00050B5A"/>
    <w:rsid w:val="00053398"/>
    <w:rsid w:val="00094650"/>
    <w:rsid w:val="00146430"/>
    <w:rsid w:val="00163636"/>
    <w:rsid w:val="001772F4"/>
    <w:rsid w:val="001C71B0"/>
    <w:rsid w:val="001C7558"/>
    <w:rsid w:val="00230C90"/>
    <w:rsid w:val="0026681B"/>
    <w:rsid w:val="00281749"/>
    <w:rsid w:val="002F1074"/>
    <w:rsid w:val="002F45F3"/>
    <w:rsid w:val="00305394"/>
    <w:rsid w:val="003410CC"/>
    <w:rsid w:val="00343661"/>
    <w:rsid w:val="003F30B6"/>
    <w:rsid w:val="00402F23"/>
    <w:rsid w:val="00410040"/>
    <w:rsid w:val="004101BE"/>
    <w:rsid w:val="00435041"/>
    <w:rsid w:val="00477801"/>
    <w:rsid w:val="004B3724"/>
    <w:rsid w:val="004C6A13"/>
    <w:rsid w:val="004C7E2A"/>
    <w:rsid w:val="00517134"/>
    <w:rsid w:val="00522486"/>
    <w:rsid w:val="00522C81"/>
    <w:rsid w:val="005263D3"/>
    <w:rsid w:val="00533F06"/>
    <w:rsid w:val="00536767"/>
    <w:rsid w:val="00537C1C"/>
    <w:rsid w:val="005A7A6B"/>
    <w:rsid w:val="005B7CB2"/>
    <w:rsid w:val="005D120A"/>
    <w:rsid w:val="005E5A17"/>
    <w:rsid w:val="005F0B38"/>
    <w:rsid w:val="00613FE2"/>
    <w:rsid w:val="00620BDF"/>
    <w:rsid w:val="00623A1E"/>
    <w:rsid w:val="006A1E4C"/>
    <w:rsid w:val="006C1E90"/>
    <w:rsid w:val="006C39D6"/>
    <w:rsid w:val="006E4E02"/>
    <w:rsid w:val="00700615"/>
    <w:rsid w:val="00706FDC"/>
    <w:rsid w:val="00714F1E"/>
    <w:rsid w:val="007251E6"/>
    <w:rsid w:val="00730F56"/>
    <w:rsid w:val="00765B3F"/>
    <w:rsid w:val="007D7CD1"/>
    <w:rsid w:val="00801FD4"/>
    <w:rsid w:val="00802FC5"/>
    <w:rsid w:val="00804370"/>
    <w:rsid w:val="008116FE"/>
    <w:rsid w:val="00811D9F"/>
    <w:rsid w:val="0081587C"/>
    <w:rsid w:val="008830EB"/>
    <w:rsid w:val="00894137"/>
    <w:rsid w:val="008950B2"/>
    <w:rsid w:val="008A4E37"/>
    <w:rsid w:val="008E25BD"/>
    <w:rsid w:val="00932770"/>
    <w:rsid w:val="009E3B6D"/>
    <w:rsid w:val="00A11B8C"/>
    <w:rsid w:val="00A1205D"/>
    <w:rsid w:val="00A2494D"/>
    <w:rsid w:val="00A354C4"/>
    <w:rsid w:val="00A67067"/>
    <w:rsid w:val="00A8672C"/>
    <w:rsid w:val="00AE1C7A"/>
    <w:rsid w:val="00AE6865"/>
    <w:rsid w:val="00B15EE4"/>
    <w:rsid w:val="00B25F3B"/>
    <w:rsid w:val="00B34F47"/>
    <w:rsid w:val="00B41FF2"/>
    <w:rsid w:val="00B9753A"/>
    <w:rsid w:val="00BE1AEE"/>
    <w:rsid w:val="00C26AC9"/>
    <w:rsid w:val="00C33387"/>
    <w:rsid w:val="00C71505"/>
    <w:rsid w:val="00C71C7E"/>
    <w:rsid w:val="00C760CD"/>
    <w:rsid w:val="00C83662"/>
    <w:rsid w:val="00C902CA"/>
    <w:rsid w:val="00C9213B"/>
    <w:rsid w:val="00D02315"/>
    <w:rsid w:val="00D44D00"/>
    <w:rsid w:val="00D51A44"/>
    <w:rsid w:val="00D933BC"/>
    <w:rsid w:val="00DD05FB"/>
    <w:rsid w:val="00DF4A7B"/>
    <w:rsid w:val="00E01495"/>
    <w:rsid w:val="00E03599"/>
    <w:rsid w:val="00E56F34"/>
    <w:rsid w:val="00E64723"/>
    <w:rsid w:val="00E7165A"/>
    <w:rsid w:val="00EB72CD"/>
    <w:rsid w:val="00ED0EBB"/>
    <w:rsid w:val="00ED5CE3"/>
    <w:rsid w:val="00EE4791"/>
    <w:rsid w:val="00F049AB"/>
    <w:rsid w:val="00F07359"/>
    <w:rsid w:val="00F3144D"/>
    <w:rsid w:val="00F4501C"/>
    <w:rsid w:val="00F70FDB"/>
    <w:rsid w:val="00F77942"/>
    <w:rsid w:val="00F921E6"/>
    <w:rsid w:val="00F92314"/>
    <w:rsid w:val="00FC6D84"/>
    <w:rsid w:val="00FF4A1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9A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0039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0039EE"/>
    <w:rPr>
      <w:rFonts w:cs="Times New Roman"/>
      <w:sz w:val="18"/>
      <w:szCs w:val="18"/>
    </w:rPr>
  </w:style>
  <w:style w:type="paragraph" w:styleId="a4">
    <w:name w:val="footer"/>
    <w:basedOn w:val="a"/>
    <w:link w:val="Char0"/>
    <w:uiPriority w:val="99"/>
    <w:rsid w:val="000039EE"/>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039EE"/>
    <w:rPr>
      <w:rFonts w:cs="Times New Roman"/>
      <w:sz w:val="18"/>
      <w:szCs w:val="18"/>
    </w:rPr>
  </w:style>
  <w:style w:type="paragraph" w:styleId="a5">
    <w:name w:val="List Paragraph"/>
    <w:basedOn w:val="a"/>
    <w:uiPriority w:val="99"/>
    <w:qFormat/>
    <w:rsid w:val="006C1E90"/>
    <w:pPr>
      <w:ind w:firstLineChars="200" w:firstLine="420"/>
    </w:pPr>
  </w:style>
  <w:style w:type="paragraph" w:styleId="a6">
    <w:name w:val="Normal Indent"/>
    <w:basedOn w:val="a"/>
    <w:uiPriority w:val="99"/>
    <w:rsid w:val="00435041"/>
    <w:pPr>
      <w:ind w:firstLineChars="200" w:firstLine="420"/>
    </w:pPr>
    <w:rPr>
      <w:rFonts w:ascii="Times New Roman" w:hAnsi="Times New Roman"/>
      <w:szCs w:val="24"/>
    </w:rPr>
  </w:style>
  <w:style w:type="paragraph" w:customStyle="1" w:styleId="p0">
    <w:name w:val="p0"/>
    <w:basedOn w:val="a"/>
    <w:uiPriority w:val="99"/>
    <w:rsid w:val="00811D9F"/>
    <w:pPr>
      <w:widowControl/>
    </w:pPr>
    <w:rPr>
      <w:rFonts w:ascii="Times New Roman" w:hAnsi="Times New Roman"/>
      <w:kern w:val="0"/>
      <w:szCs w:val="21"/>
    </w:rPr>
  </w:style>
  <w:style w:type="table" w:styleId="a7">
    <w:name w:val="Table Grid"/>
    <w:basedOn w:val="a1"/>
    <w:uiPriority w:val="99"/>
    <w:rsid w:val="00230C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大标题"/>
    <w:basedOn w:val="a"/>
    <w:next w:val="a"/>
    <w:uiPriority w:val="99"/>
    <w:rsid w:val="00D44D00"/>
    <w:pPr>
      <w:spacing w:line="580" w:lineRule="exact"/>
      <w:jc w:val="center"/>
      <w:outlineLvl w:val="0"/>
    </w:pPr>
    <w:rPr>
      <w:rFonts w:ascii="Times New Roman" w:eastAsia="方正小标宋简体" w:hAnsi="Times New Roman"/>
      <w:sz w:val="44"/>
      <w:szCs w:val="24"/>
    </w:rPr>
  </w:style>
  <w:style w:type="character" w:styleId="a9">
    <w:name w:val="Hyperlink"/>
    <w:basedOn w:val="a0"/>
    <w:uiPriority w:val="99"/>
    <w:rsid w:val="00D44D00"/>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311296458">
      <w:marLeft w:val="0"/>
      <w:marRight w:val="0"/>
      <w:marTop w:val="0"/>
      <w:marBottom w:val="0"/>
      <w:divBdr>
        <w:top w:val="none" w:sz="0" w:space="0" w:color="auto"/>
        <w:left w:val="none" w:sz="0" w:space="0" w:color="auto"/>
        <w:bottom w:val="none" w:sz="0" w:space="0" w:color="auto"/>
        <w:right w:val="none" w:sz="0" w:space="0" w:color="auto"/>
      </w:divBdr>
    </w:div>
    <w:div w:id="311296459">
      <w:marLeft w:val="0"/>
      <w:marRight w:val="0"/>
      <w:marTop w:val="0"/>
      <w:marBottom w:val="0"/>
      <w:divBdr>
        <w:top w:val="none" w:sz="0" w:space="0" w:color="auto"/>
        <w:left w:val="none" w:sz="0" w:space="0" w:color="auto"/>
        <w:bottom w:val="none" w:sz="0" w:space="0" w:color="auto"/>
        <w:right w:val="none" w:sz="0" w:space="0" w:color="auto"/>
      </w:divBdr>
    </w:div>
    <w:div w:id="311296460">
      <w:marLeft w:val="0"/>
      <w:marRight w:val="0"/>
      <w:marTop w:val="0"/>
      <w:marBottom w:val="0"/>
      <w:divBdr>
        <w:top w:val="none" w:sz="0" w:space="0" w:color="auto"/>
        <w:left w:val="none" w:sz="0" w:space="0" w:color="auto"/>
        <w:bottom w:val="none" w:sz="0" w:space="0" w:color="auto"/>
        <w:right w:val="none" w:sz="0" w:space="0" w:color="auto"/>
      </w:divBdr>
    </w:div>
    <w:div w:id="3112964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741</Words>
  <Characters>4224</Characters>
  <Application>Microsoft Office Word</Application>
  <DocSecurity>0</DocSecurity>
  <Lines>35</Lines>
  <Paragraphs>9</Paragraphs>
  <ScaleCrop>false</ScaleCrop>
  <Company>微软中国</Company>
  <LinksUpToDate>false</LinksUpToDate>
  <CharactersWithSpaces>4956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4</cp:revision>
  <cp:lastPrinted>2015-01-05T09:11:00Z</cp:lastPrinted>
  <dcterms:created xsi:type="dcterms:W3CDTF">2016-05-12T03:53:00Z</dcterms:created>
  <dcterms:modified xsi:type="dcterms:W3CDTF">2016-11-14T06:43:00Z</dcterms:modified>
</cp:coreProperties>
</file>