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20" w:rsidRPr="00564AC3" w:rsidRDefault="00805B20" w:rsidP="00805B20">
      <w:pPr>
        <w:pStyle w:val="ae"/>
        <w:ind w:firstLineChars="0" w:firstLine="0"/>
        <w:rPr>
          <w:rFonts w:hint="eastAsia"/>
        </w:rPr>
      </w:pPr>
      <w:r w:rsidRPr="00564AC3">
        <w:t>附件</w:t>
      </w:r>
      <w:r w:rsidRPr="00564AC3">
        <w:rPr>
          <w:rFonts w:hint="eastAsia"/>
        </w:rPr>
        <w:t>1</w:t>
      </w:r>
    </w:p>
    <w:p w:rsidR="00805B20" w:rsidRPr="00564AC3" w:rsidRDefault="00805B20" w:rsidP="00805B20">
      <w:pPr>
        <w:pStyle w:val="ac"/>
      </w:pPr>
      <w:r w:rsidRPr="00564AC3">
        <w:t>安全生产大检查深化</w:t>
      </w:r>
      <w:r w:rsidRPr="00564AC3">
        <w:t>“</w:t>
      </w:r>
      <w:r w:rsidRPr="00564AC3">
        <w:t>打非治违</w:t>
      </w:r>
      <w:r w:rsidRPr="00564AC3">
        <w:t>”</w:t>
      </w:r>
      <w:r w:rsidRPr="00564AC3">
        <w:t>和专项整治工作统计表</w:t>
      </w:r>
    </w:p>
    <w:p w:rsidR="00805B20" w:rsidRPr="00564AC3" w:rsidRDefault="00805B20" w:rsidP="00805B20">
      <w:pPr>
        <w:pStyle w:val="ad"/>
      </w:pPr>
      <w:r w:rsidRPr="00564AC3">
        <w:t>2015</w:t>
      </w:r>
      <w:r w:rsidRPr="00564AC3">
        <w:t>年</w:t>
      </w:r>
      <w:r w:rsidRPr="00564AC3">
        <w:t>8</w:t>
      </w:r>
      <w:r w:rsidRPr="00564AC3">
        <w:t>月至</w:t>
      </w:r>
      <w:r w:rsidRPr="00564AC3">
        <w:rPr>
          <w:u w:val="single"/>
        </w:rPr>
        <w:t xml:space="preserve">    </w:t>
      </w:r>
      <w:r w:rsidRPr="00564AC3">
        <w:t>月</w:t>
      </w:r>
    </w:p>
    <w:p w:rsidR="00805B20" w:rsidRPr="00564AC3" w:rsidRDefault="00805B20" w:rsidP="00805B20">
      <w:pPr>
        <w:rPr>
          <w:rFonts w:eastAsia="黑体"/>
          <w:color w:val="000000"/>
          <w:sz w:val="24"/>
          <w:szCs w:val="44"/>
        </w:rPr>
      </w:pPr>
      <w:r w:rsidRPr="00564AC3">
        <w:rPr>
          <w:rFonts w:eastAsia="黑体"/>
          <w:color w:val="000000"/>
          <w:sz w:val="24"/>
          <w:szCs w:val="44"/>
        </w:rPr>
        <w:t>填报单位：</w:t>
      </w:r>
    </w:p>
    <w:tbl>
      <w:tblPr>
        <w:tblW w:w="14661" w:type="dxa"/>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1"/>
        <w:gridCol w:w="824"/>
        <w:gridCol w:w="721"/>
        <w:gridCol w:w="618"/>
        <w:gridCol w:w="824"/>
        <w:gridCol w:w="824"/>
        <w:gridCol w:w="642"/>
        <w:gridCol w:w="800"/>
        <w:gridCol w:w="721"/>
        <w:gridCol w:w="587"/>
        <w:gridCol w:w="683"/>
        <w:gridCol w:w="673"/>
        <w:gridCol w:w="709"/>
        <w:gridCol w:w="695"/>
        <w:gridCol w:w="773"/>
        <w:gridCol w:w="618"/>
        <w:gridCol w:w="824"/>
        <w:gridCol w:w="618"/>
        <w:gridCol w:w="836"/>
      </w:tblGrid>
      <w:tr w:rsidR="00805B20" w:rsidRPr="00564AC3" w:rsidTr="00624DFA">
        <w:tc>
          <w:tcPr>
            <w:tcW w:w="1671" w:type="dxa"/>
            <w:vMerge w:val="restart"/>
            <w:vAlign w:val="center"/>
          </w:tcPr>
          <w:p w:rsidR="00805B20" w:rsidRPr="00564AC3" w:rsidRDefault="00805B20" w:rsidP="00624DFA">
            <w:pPr>
              <w:adjustRightInd w:val="0"/>
              <w:snapToGrid w:val="0"/>
              <w:spacing w:line="240" w:lineRule="atLeast"/>
              <w:contextualSpacing/>
              <w:jc w:val="center"/>
              <w:rPr>
                <w:rFonts w:eastAsia="黑体"/>
                <w:color w:val="000000"/>
                <w:szCs w:val="21"/>
              </w:rPr>
            </w:pPr>
            <w:r w:rsidRPr="00564AC3">
              <w:rPr>
                <w:rFonts w:eastAsia="黑体" w:hAnsi="黑体"/>
                <w:color w:val="000000"/>
                <w:szCs w:val="21"/>
              </w:rPr>
              <w:t>行业领域</w:t>
            </w:r>
          </w:p>
        </w:tc>
        <w:tc>
          <w:tcPr>
            <w:tcW w:w="7244" w:type="dxa"/>
            <w:gridSpan w:val="10"/>
            <w:vAlign w:val="center"/>
          </w:tcPr>
          <w:p w:rsidR="00805B20" w:rsidRPr="00564AC3" w:rsidRDefault="00805B20" w:rsidP="00624DFA">
            <w:pPr>
              <w:adjustRightInd w:val="0"/>
              <w:snapToGrid w:val="0"/>
              <w:spacing w:line="240" w:lineRule="atLeast"/>
              <w:contextualSpacing/>
              <w:jc w:val="center"/>
              <w:rPr>
                <w:rFonts w:eastAsia="黑体"/>
                <w:color w:val="000000"/>
                <w:szCs w:val="21"/>
              </w:rPr>
            </w:pPr>
            <w:r w:rsidRPr="00564AC3">
              <w:rPr>
                <w:rFonts w:eastAsia="黑体" w:hAnsi="黑体"/>
                <w:color w:val="000000"/>
                <w:szCs w:val="21"/>
              </w:rPr>
              <w:t>检查执法情况</w:t>
            </w:r>
          </w:p>
        </w:tc>
        <w:tc>
          <w:tcPr>
            <w:tcW w:w="3468" w:type="dxa"/>
            <w:gridSpan w:val="5"/>
            <w:vAlign w:val="center"/>
          </w:tcPr>
          <w:p w:rsidR="00805B20" w:rsidRPr="00564AC3" w:rsidRDefault="00805B20" w:rsidP="00624DFA">
            <w:pPr>
              <w:adjustRightInd w:val="0"/>
              <w:snapToGrid w:val="0"/>
              <w:spacing w:line="240" w:lineRule="atLeast"/>
              <w:contextualSpacing/>
              <w:jc w:val="center"/>
              <w:rPr>
                <w:rFonts w:eastAsia="黑体"/>
                <w:color w:val="000000"/>
                <w:szCs w:val="21"/>
              </w:rPr>
            </w:pPr>
            <w:r w:rsidRPr="00564AC3">
              <w:rPr>
                <w:rFonts w:eastAsia="黑体" w:hAnsi="黑体"/>
                <w:color w:val="000000"/>
                <w:szCs w:val="21"/>
              </w:rPr>
              <w:t>实施处罚情况</w:t>
            </w:r>
          </w:p>
        </w:tc>
        <w:tc>
          <w:tcPr>
            <w:tcW w:w="2278" w:type="dxa"/>
            <w:gridSpan w:val="3"/>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今年以来较大和重大</w:t>
            </w:r>
          </w:p>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事故查处结案情况</w:t>
            </w:r>
          </w:p>
        </w:tc>
      </w:tr>
      <w:tr w:rsidR="00805B20" w:rsidRPr="00564AC3" w:rsidTr="00624DFA">
        <w:trPr>
          <w:trHeight w:val="315"/>
        </w:trPr>
        <w:tc>
          <w:tcPr>
            <w:tcW w:w="1671" w:type="dxa"/>
            <w:vMerge/>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p>
        </w:tc>
        <w:tc>
          <w:tcPr>
            <w:tcW w:w="824"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组织</w:t>
            </w:r>
          </w:p>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检查组</w:t>
            </w:r>
          </w:p>
        </w:tc>
        <w:tc>
          <w:tcPr>
            <w:tcW w:w="721"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检查</w:t>
            </w:r>
          </w:p>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企业</w:t>
            </w:r>
          </w:p>
        </w:tc>
        <w:tc>
          <w:tcPr>
            <w:tcW w:w="2266" w:type="dxa"/>
            <w:gridSpan w:val="3"/>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一般隐患</w:t>
            </w:r>
          </w:p>
        </w:tc>
        <w:tc>
          <w:tcPr>
            <w:tcW w:w="2163" w:type="dxa"/>
            <w:gridSpan w:val="3"/>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重大隐患</w:t>
            </w:r>
          </w:p>
        </w:tc>
        <w:tc>
          <w:tcPr>
            <w:tcW w:w="587"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打击非法违法行为</w:t>
            </w:r>
          </w:p>
        </w:tc>
        <w:tc>
          <w:tcPr>
            <w:tcW w:w="683"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整治违规违章行为</w:t>
            </w:r>
          </w:p>
        </w:tc>
        <w:tc>
          <w:tcPr>
            <w:tcW w:w="673"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停产</w:t>
            </w:r>
          </w:p>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整顿</w:t>
            </w:r>
          </w:p>
        </w:tc>
        <w:tc>
          <w:tcPr>
            <w:tcW w:w="709"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暂扣吊销证照</w:t>
            </w:r>
          </w:p>
        </w:tc>
        <w:tc>
          <w:tcPr>
            <w:tcW w:w="695"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关闭</w:t>
            </w:r>
          </w:p>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取缔</w:t>
            </w:r>
          </w:p>
        </w:tc>
        <w:tc>
          <w:tcPr>
            <w:tcW w:w="773"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处罚罚款</w:t>
            </w:r>
          </w:p>
        </w:tc>
        <w:tc>
          <w:tcPr>
            <w:tcW w:w="618"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追究刑事责任</w:t>
            </w:r>
          </w:p>
        </w:tc>
        <w:tc>
          <w:tcPr>
            <w:tcW w:w="824"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应结案较大和重大事故</w:t>
            </w:r>
          </w:p>
        </w:tc>
        <w:tc>
          <w:tcPr>
            <w:tcW w:w="618"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已结案事故</w:t>
            </w:r>
          </w:p>
        </w:tc>
        <w:tc>
          <w:tcPr>
            <w:tcW w:w="836" w:type="dxa"/>
            <w:vMerge w:val="restart"/>
            <w:vAlign w:val="center"/>
          </w:tcPr>
          <w:p w:rsidR="00805B20" w:rsidRPr="00564AC3" w:rsidRDefault="00805B20" w:rsidP="00624DFA">
            <w:pPr>
              <w:adjustRightInd w:val="0"/>
              <w:snapToGrid w:val="0"/>
              <w:spacing w:line="200" w:lineRule="exact"/>
              <w:contextualSpacing/>
              <w:jc w:val="center"/>
              <w:rPr>
                <w:rFonts w:eastAsia="黑体"/>
                <w:color w:val="000000"/>
                <w:sz w:val="18"/>
                <w:szCs w:val="18"/>
              </w:rPr>
            </w:pPr>
            <w:r w:rsidRPr="00564AC3">
              <w:rPr>
                <w:rFonts w:eastAsia="黑体" w:hAnsi="黑体"/>
                <w:color w:val="000000"/>
                <w:sz w:val="18"/>
                <w:szCs w:val="18"/>
              </w:rPr>
              <w:t>超过法定结案期限</w:t>
            </w:r>
          </w:p>
        </w:tc>
      </w:tr>
      <w:tr w:rsidR="00805B20" w:rsidRPr="00564AC3" w:rsidTr="00624DFA">
        <w:trPr>
          <w:trHeight w:val="315"/>
        </w:trPr>
        <w:tc>
          <w:tcPr>
            <w:tcW w:w="1671"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排查</w:t>
            </w:r>
          </w:p>
        </w:tc>
        <w:tc>
          <w:tcPr>
            <w:tcW w:w="824" w:type="dxa"/>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已整治</w:t>
            </w:r>
          </w:p>
        </w:tc>
        <w:tc>
          <w:tcPr>
            <w:tcW w:w="824" w:type="dxa"/>
            <w:vAlign w:val="center"/>
          </w:tcPr>
          <w:p w:rsidR="00805B20" w:rsidRPr="00564AC3" w:rsidRDefault="00805B20" w:rsidP="00624DFA">
            <w:pPr>
              <w:adjustRightInd w:val="0"/>
              <w:snapToGrid w:val="0"/>
              <w:spacing w:line="240" w:lineRule="atLeast"/>
              <w:jc w:val="center"/>
              <w:rPr>
                <w:rFonts w:eastAsia="黑体"/>
                <w:color w:val="000000"/>
                <w:sz w:val="18"/>
                <w:szCs w:val="18"/>
              </w:rPr>
            </w:pPr>
            <w:r w:rsidRPr="00564AC3">
              <w:rPr>
                <w:rFonts w:eastAsia="黑体" w:hAnsi="黑体"/>
                <w:color w:val="000000"/>
                <w:sz w:val="18"/>
                <w:szCs w:val="18"/>
              </w:rPr>
              <w:t>整改率</w:t>
            </w:r>
          </w:p>
        </w:tc>
        <w:tc>
          <w:tcPr>
            <w:tcW w:w="642" w:type="dxa"/>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排查</w:t>
            </w:r>
          </w:p>
        </w:tc>
        <w:tc>
          <w:tcPr>
            <w:tcW w:w="800" w:type="dxa"/>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已整治</w:t>
            </w:r>
          </w:p>
        </w:tc>
        <w:tc>
          <w:tcPr>
            <w:tcW w:w="721" w:type="dxa"/>
            <w:vAlign w:val="center"/>
          </w:tcPr>
          <w:p w:rsidR="00805B20" w:rsidRPr="00564AC3" w:rsidRDefault="00805B20" w:rsidP="00624DFA">
            <w:pPr>
              <w:adjustRightInd w:val="0"/>
              <w:snapToGrid w:val="0"/>
              <w:spacing w:line="240" w:lineRule="atLeast"/>
              <w:contextualSpacing/>
              <w:jc w:val="center"/>
              <w:rPr>
                <w:rFonts w:eastAsia="黑体"/>
                <w:color w:val="000000"/>
                <w:sz w:val="18"/>
                <w:szCs w:val="18"/>
              </w:rPr>
            </w:pPr>
            <w:r w:rsidRPr="00564AC3">
              <w:rPr>
                <w:rFonts w:eastAsia="黑体" w:hAnsi="黑体"/>
                <w:color w:val="000000"/>
                <w:sz w:val="18"/>
                <w:szCs w:val="18"/>
              </w:rPr>
              <w:t>整改率</w:t>
            </w:r>
          </w:p>
        </w:tc>
        <w:tc>
          <w:tcPr>
            <w:tcW w:w="587"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c>
          <w:tcPr>
            <w:tcW w:w="1671" w:type="dxa"/>
            <w:vMerge/>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（个）</w:t>
            </w: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（家）</w:t>
            </w:r>
          </w:p>
        </w:tc>
        <w:tc>
          <w:tcPr>
            <w:tcW w:w="618"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项</w:t>
            </w:r>
            <w:r w:rsidRPr="00564AC3">
              <w:rPr>
                <w:color w:val="000000"/>
                <w:sz w:val="18"/>
                <w:szCs w:val="18"/>
              </w:rPr>
              <w:t>)</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（项）</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w:t>
            </w:r>
            <w:r w:rsidRPr="00564AC3">
              <w:rPr>
                <w:color w:val="000000"/>
                <w:sz w:val="18"/>
                <w:szCs w:val="18"/>
              </w:rPr>
              <w:t>）</w:t>
            </w:r>
          </w:p>
        </w:tc>
        <w:tc>
          <w:tcPr>
            <w:tcW w:w="642"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项</w:t>
            </w:r>
            <w:r w:rsidRPr="00564AC3">
              <w:rPr>
                <w:color w:val="000000"/>
                <w:sz w:val="18"/>
                <w:szCs w:val="18"/>
              </w:rPr>
              <w:t>)</w:t>
            </w:r>
          </w:p>
        </w:tc>
        <w:tc>
          <w:tcPr>
            <w:tcW w:w="800"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（项）</w:t>
            </w: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w:t>
            </w:r>
            <w:r w:rsidRPr="00564AC3">
              <w:rPr>
                <w:color w:val="000000"/>
                <w:sz w:val="18"/>
                <w:szCs w:val="18"/>
              </w:rPr>
              <w:t>）</w:t>
            </w: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起</w:t>
            </w:r>
            <w:r w:rsidRPr="00564AC3">
              <w:rPr>
                <w:color w:val="000000"/>
                <w:sz w:val="18"/>
                <w:szCs w:val="18"/>
              </w:rPr>
              <w:t>)</w:t>
            </w: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（起）</w:t>
            </w: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（家）</w:t>
            </w: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（个）</w:t>
            </w: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（家）</w:t>
            </w: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万元</w:t>
            </w:r>
            <w:r w:rsidRPr="00564AC3">
              <w:rPr>
                <w:color w:val="000000"/>
                <w:sz w:val="18"/>
                <w:szCs w:val="18"/>
              </w:rPr>
              <w:t>)</w:t>
            </w: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人</w:t>
            </w:r>
            <w:r w:rsidRPr="00564AC3">
              <w:rPr>
                <w:color w:val="000000"/>
                <w:sz w:val="18"/>
                <w:szCs w:val="18"/>
              </w:rPr>
              <w:t>)</w:t>
            </w: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（起）</w:t>
            </w: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w:t>
            </w:r>
            <w:r w:rsidRPr="00564AC3">
              <w:rPr>
                <w:color w:val="000000"/>
                <w:sz w:val="18"/>
                <w:szCs w:val="18"/>
              </w:rPr>
              <w:t>起</w:t>
            </w:r>
            <w:r w:rsidRPr="00564AC3">
              <w:rPr>
                <w:color w:val="000000"/>
                <w:sz w:val="18"/>
                <w:szCs w:val="18"/>
              </w:rPr>
              <w:t>)</w:t>
            </w:r>
          </w:p>
        </w:tc>
        <w:tc>
          <w:tcPr>
            <w:tcW w:w="836" w:type="dxa"/>
            <w:vAlign w:val="center"/>
          </w:tcPr>
          <w:p w:rsidR="00805B20" w:rsidRPr="00564AC3" w:rsidRDefault="00805B20" w:rsidP="00624DFA">
            <w:pPr>
              <w:adjustRightInd w:val="0"/>
              <w:snapToGrid w:val="0"/>
              <w:spacing w:line="240" w:lineRule="atLeast"/>
              <w:contextualSpacing/>
              <w:jc w:val="center"/>
              <w:rPr>
                <w:color w:val="000000"/>
                <w:sz w:val="18"/>
                <w:szCs w:val="18"/>
              </w:rPr>
            </w:pPr>
            <w:r w:rsidRPr="00564AC3">
              <w:rPr>
                <w:color w:val="000000"/>
                <w:sz w:val="18"/>
                <w:szCs w:val="18"/>
              </w:rPr>
              <w:t>（起）</w:t>
            </w: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center"/>
              <w:rPr>
                <w:b/>
                <w:color w:val="000000"/>
                <w:sz w:val="18"/>
                <w:szCs w:val="18"/>
              </w:rPr>
            </w:pPr>
            <w:r w:rsidRPr="00564AC3">
              <w:rPr>
                <w:b/>
                <w:color w:val="000000"/>
                <w:sz w:val="18"/>
                <w:szCs w:val="18"/>
              </w:rPr>
              <w:t>合计</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1.</w:t>
            </w:r>
            <w:r w:rsidRPr="00564AC3">
              <w:rPr>
                <w:b/>
                <w:color w:val="000000"/>
                <w:sz w:val="18"/>
                <w:szCs w:val="18"/>
              </w:rPr>
              <w:t>煤矿</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2.</w:t>
            </w:r>
            <w:r w:rsidRPr="00564AC3">
              <w:rPr>
                <w:b/>
                <w:color w:val="000000"/>
                <w:sz w:val="18"/>
                <w:szCs w:val="18"/>
              </w:rPr>
              <w:t>非煤矿山</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592"/>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3.</w:t>
            </w:r>
            <w:r w:rsidRPr="00564AC3">
              <w:rPr>
                <w:b/>
                <w:color w:val="000000"/>
                <w:sz w:val="18"/>
                <w:szCs w:val="18"/>
              </w:rPr>
              <w:t>危险化学品和烟花爆竹</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4.</w:t>
            </w:r>
            <w:r w:rsidRPr="00564AC3">
              <w:rPr>
                <w:b/>
                <w:color w:val="000000"/>
                <w:sz w:val="18"/>
                <w:szCs w:val="18"/>
              </w:rPr>
              <w:t>油气输送管道</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499"/>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5.</w:t>
            </w:r>
            <w:r w:rsidRPr="00564AC3">
              <w:rPr>
                <w:b/>
                <w:color w:val="000000"/>
                <w:sz w:val="18"/>
                <w:szCs w:val="18"/>
              </w:rPr>
              <w:t>道路交通和水上交通</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553"/>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6.</w:t>
            </w:r>
            <w:r w:rsidRPr="00564AC3">
              <w:rPr>
                <w:b/>
                <w:color w:val="000000"/>
                <w:sz w:val="18"/>
                <w:szCs w:val="18"/>
              </w:rPr>
              <w:t>建筑施工、城镇燃气</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7.</w:t>
            </w:r>
            <w:r w:rsidRPr="00564AC3">
              <w:rPr>
                <w:b/>
                <w:color w:val="000000"/>
                <w:sz w:val="18"/>
                <w:szCs w:val="18"/>
              </w:rPr>
              <w:t>消防及公共安全</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8.</w:t>
            </w:r>
            <w:r w:rsidRPr="00564AC3">
              <w:rPr>
                <w:b/>
                <w:color w:val="000000"/>
                <w:sz w:val="18"/>
                <w:szCs w:val="18"/>
              </w:rPr>
              <w:t>粉尘涉爆</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9.</w:t>
            </w:r>
            <w:r w:rsidRPr="00564AC3">
              <w:rPr>
                <w:b/>
                <w:color w:val="000000"/>
                <w:sz w:val="18"/>
                <w:szCs w:val="18"/>
              </w:rPr>
              <w:t>电梯等特种设备</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r w:rsidR="00805B20" w:rsidRPr="00564AC3" w:rsidTr="00624DFA">
        <w:trPr>
          <w:trHeight w:hRule="exact" w:val="340"/>
        </w:trPr>
        <w:tc>
          <w:tcPr>
            <w:tcW w:w="1671" w:type="dxa"/>
            <w:vAlign w:val="center"/>
          </w:tcPr>
          <w:p w:rsidR="00805B20" w:rsidRPr="00564AC3" w:rsidRDefault="00805B20" w:rsidP="00624DFA">
            <w:pPr>
              <w:adjustRightInd w:val="0"/>
              <w:snapToGrid w:val="0"/>
              <w:spacing w:line="240" w:lineRule="atLeast"/>
              <w:contextualSpacing/>
              <w:jc w:val="left"/>
              <w:rPr>
                <w:b/>
                <w:color w:val="000000"/>
                <w:sz w:val="18"/>
                <w:szCs w:val="18"/>
              </w:rPr>
            </w:pPr>
            <w:r w:rsidRPr="00564AC3">
              <w:rPr>
                <w:b/>
                <w:color w:val="000000"/>
                <w:sz w:val="18"/>
                <w:szCs w:val="18"/>
              </w:rPr>
              <w:t>10.</w:t>
            </w:r>
            <w:r w:rsidRPr="00564AC3">
              <w:rPr>
                <w:b/>
                <w:color w:val="000000"/>
                <w:sz w:val="18"/>
                <w:szCs w:val="18"/>
              </w:rPr>
              <w:t>其他行业领域</w:t>
            </w:r>
          </w:p>
        </w:tc>
        <w:tc>
          <w:tcPr>
            <w:tcW w:w="824"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42"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00"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21"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587"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83" w:type="dxa"/>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09"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95"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773"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24" w:type="dxa"/>
            <w:tcBorders>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618" w:type="dxa"/>
            <w:tcBorders>
              <w:left w:val="single" w:sz="4" w:space="0" w:color="auto"/>
              <w:righ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c>
          <w:tcPr>
            <w:tcW w:w="836" w:type="dxa"/>
            <w:tcBorders>
              <w:left w:val="single" w:sz="4" w:space="0" w:color="auto"/>
            </w:tcBorders>
            <w:vAlign w:val="center"/>
          </w:tcPr>
          <w:p w:rsidR="00805B20" w:rsidRPr="00564AC3" w:rsidRDefault="00805B20" w:rsidP="00624DFA">
            <w:pPr>
              <w:adjustRightInd w:val="0"/>
              <w:snapToGrid w:val="0"/>
              <w:spacing w:line="240" w:lineRule="atLeast"/>
              <w:contextualSpacing/>
              <w:jc w:val="center"/>
              <w:rPr>
                <w:color w:val="000000"/>
                <w:sz w:val="18"/>
                <w:szCs w:val="18"/>
              </w:rPr>
            </w:pPr>
          </w:p>
        </w:tc>
      </w:tr>
    </w:tbl>
    <w:p w:rsidR="00805B20" w:rsidRPr="00564AC3" w:rsidRDefault="00805B20" w:rsidP="00805B20">
      <w:pPr>
        <w:pStyle w:val="ac"/>
        <w:rPr>
          <w:rFonts w:eastAsia="黑体"/>
          <w:color w:val="000000"/>
          <w:sz w:val="24"/>
          <w:szCs w:val="44"/>
        </w:rPr>
      </w:pPr>
      <w:r w:rsidRPr="00564AC3">
        <w:rPr>
          <w:rFonts w:eastAsia="黑体"/>
          <w:color w:val="000000"/>
          <w:sz w:val="24"/>
          <w:szCs w:val="44"/>
        </w:rPr>
        <w:t>审核人：</w:t>
      </w:r>
      <w:r w:rsidRPr="00564AC3">
        <w:rPr>
          <w:rFonts w:eastAsia="黑体"/>
          <w:color w:val="000000"/>
          <w:sz w:val="24"/>
          <w:szCs w:val="44"/>
        </w:rPr>
        <w:t xml:space="preserve">                                </w:t>
      </w:r>
      <w:r w:rsidRPr="00564AC3">
        <w:rPr>
          <w:rFonts w:eastAsia="黑体"/>
          <w:color w:val="000000"/>
          <w:sz w:val="24"/>
          <w:szCs w:val="44"/>
        </w:rPr>
        <w:t>联系电话：</w:t>
      </w:r>
      <w:r w:rsidRPr="00564AC3">
        <w:rPr>
          <w:rFonts w:eastAsia="黑体"/>
          <w:color w:val="000000"/>
          <w:sz w:val="24"/>
          <w:szCs w:val="44"/>
        </w:rPr>
        <w:t xml:space="preserve">                                </w:t>
      </w:r>
      <w:r w:rsidRPr="00564AC3">
        <w:rPr>
          <w:rFonts w:eastAsia="黑体"/>
          <w:color w:val="000000"/>
          <w:sz w:val="24"/>
          <w:szCs w:val="44"/>
        </w:rPr>
        <w:t>填报日期：</w:t>
      </w:r>
    </w:p>
    <w:sectPr w:rsidR="00805B20" w:rsidRPr="00564AC3" w:rsidSect="00624DFA">
      <w:footerReference w:type="even" r:id="rId7"/>
      <w:footerReference w:type="default" r:id="rId8"/>
      <w:pgSz w:w="16838" w:h="11906" w:orient="landscape"/>
      <w:pgMar w:top="1418" w:right="1418" w:bottom="1418"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066" w:rsidRDefault="00035066">
      <w:r>
        <w:separator/>
      </w:r>
    </w:p>
  </w:endnote>
  <w:endnote w:type="continuationSeparator" w:id="0">
    <w:p w:rsidR="00035066" w:rsidRDefault="000350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Default="004A2ED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4A2EDC" w:rsidRDefault="004A2ED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Pr="00E82F29" w:rsidRDefault="004A2ED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114501">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4A2EDC" w:rsidRDefault="004A2EDC"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066" w:rsidRDefault="00035066">
      <w:r>
        <w:separator/>
      </w:r>
    </w:p>
  </w:footnote>
  <w:footnote w:type="continuationSeparator" w:id="0">
    <w:p w:rsidR="00035066" w:rsidRDefault="00035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0004"/>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5066"/>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4501"/>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EA4"/>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EDC"/>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4DFA"/>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B20"/>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4FE5"/>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ab">
    <w:name w:val="公文主体"/>
    <w:basedOn w:val="a"/>
    <w:link w:val="Char"/>
    <w:rsid w:val="00805B20"/>
    <w:pPr>
      <w:spacing w:line="580" w:lineRule="exact"/>
      <w:ind w:firstLineChars="200" w:firstLine="200"/>
    </w:pPr>
    <w:rPr>
      <w:rFonts w:eastAsia="仿宋_GB2312"/>
      <w:sz w:val="32"/>
    </w:rPr>
  </w:style>
  <w:style w:type="character" w:customStyle="1" w:styleId="Char">
    <w:name w:val="公文主体 Char"/>
    <w:basedOn w:val="a0"/>
    <w:link w:val="ab"/>
    <w:rsid w:val="00805B20"/>
    <w:rPr>
      <w:rFonts w:eastAsia="仿宋_GB2312"/>
      <w:kern w:val="2"/>
      <w:sz w:val="32"/>
      <w:szCs w:val="24"/>
      <w:lang w:val="en-US" w:eastAsia="zh-CN" w:bidi="ar-SA"/>
    </w:rPr>
  </w:style>
  <w:style w:type="paragraph" w:customStyle="1" w:styleId="ac">
    <w:name w:val="大标题"/>
    <w:basedOn w:val="a"/>
    <w:next w:val="a"/>
    <w:rsid w:val="00805B20"/>
    <w:pPr>
      <w:spacing w:line="580" w:lineRule="exact"/>
      <w:jc w:val="center"/>
      <w:outlineLvl w:val="0"/>
    </w:pPr>
    <w:rPr>
      <w:rFonts w:eastAsia="方正小标宋简体"/>
      <w:sz w:val="44"/>
    </w:rPr>
  </w:style>
  <w:style w:type="paragraph" w:customStyle="1" w:styleId="ad">
    <w:name w:val="标题注释"/>
    <w:basedOn w:val="ab"/>
    <w:next w:val="a"/>
    <w:rsid w:val="00805B20"/>
    <w:pPr>
      <w:ind w:firstLineChars="0" w:firstLine="0"/>
      <w:jc w:val="center"/>
      <w:outlineLvl w:val="1"/>
    </w:pPr>
    <w:rPr>
      <w:rFonts w:eastAsia="楷体_GB2312"/>
      <w:effect w:val="lights"/>
    </w:rPr>
  </w:style>
  <w:style w:type="paragraph" w:customStyle="1" w:styleId="ae">
    <w:name w:val="一级标题"/>
    <w:basedOn w:val="ab"/>
    <w:next w:val="ab"/>
    <w:link w:val="Char0"/>
    <w:rsid w:val="00805B20"/>
    <w:pPr>
      <w:outlineLvl w:val="2"/>
    </w:pPr>
    <w:rPr>
      <w:rFonts w:eastAsia="黑体"/>
      <w:effect w:val="antsRed"/>
    </w:rPr>
  </w:style>
  <w:style w:type="character" w:customStyle="1" w:styleId="Char0">
    <w:name w:val="一级标题 Char"/>
    <w:basedOn w:val="Char"/>
    <w:link w:val="ae"/>
    <w:rsid w:val="00805B20"/>
    <w:rPr>
      <w:rFonts w:eastAsia="黑体"/>
      <w:effect w:val="antsRed"/>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584</Characters>
  <Application>Microsoft Office Word</Application>
  <DocSecurity>0</DocSecurity>
  <Lines>4</Lines>
  <Paragraphs>1</Paragraphs>
  <ScaleCrop>false</ScaleCrop>
  <Company>ajj</Company>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creator>aa</dc:creator>
  <cp:lastModifiedBy>Administrator</cp:lastModifiedBy>
  <cp:revision>2</cp:revision>
  <cp:lastPrinted>2015-11-02T01:55:00Z</cp:lastPrinted>
  <dcterms:created xsi:type="dcterms:W3CDTF">2015-11-05T09:00:00Z</dcterms:created>
  <dcterms:modified xsi:type="dcterms:W3CDTF">2015-11-05T09:00:00Z</dcterms:modified>
</cp:coreProperties>
</file>